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0D9488" w:sz="24" w:space="8"/>
        </w:pBdr>
        <w:shd w:fill="E8F6F4" w:color="auto" w:val="clear"/>
        <w:spacing w:after="70" w:line="264"/>
        <w:ind w:left="170" w:right="170"/>
      </w:pPr>
      <w:r>
        <w:rPr>
          <w:rFonts w:ascii="Arial" w:cs="Arial" w:eastAsia="Arial" w:hAnsi="Arial"/>
          <w:b/>
          <w:bCs/>
          <w:color w:val="0D9488"/>
          <w:sz w:val="17"/>
          <w:szCs w:val="17"/>
        </w:rPr>
        <w:t xml:space="preserve">À LIRE, PUIS SUPPRIMER CE CADRE AVANT ENVOI</w:t>
      </w:r>
    </w:p>
    <w:p>
      <w:pPr>
        <w:pBdr>
          <w:left w:val="single" w:color="0D9488" w:sz="24" w:space="8"/>
        </w:pBdr>
        <w:shd w:fill="E8F6F4" w:color="auto" w:val="clear"/>
        <w:spacing w:after="110" w:line="264"/>
        <w:ind w:left="170" w:right="170"/>
      </w:pPr>
      <w:r>
        <w:rPr>
          <w:rFonts w:ascii="Arial" w:cs="Arial" w:eastAsia="Arial" w:hAnsi="Arial"/>
          <w:b/>
          <w:bCs/>
          <w:sz w:val="26"/>
          <w:szCs w:val="26"/>
        </w:rPr>
        <w:t xml:space="preserve">Modèle 3 · Avis d’atteinte prochaine du montant contractuel</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Repose sur : </w:t>
      </w:r>
      <w:r>
        <w:rPr>
          <w:rFonts w:ascii="Arial" w:cs="Arial" w:eastAsia="Arial" w:hAnsi="Arial"/>
          <w:b w:val="false"/>
          <w:bCs w:val="false"/>
          <w:sz w:val="19"/>
          <w:szCs w:val="19"/>
        </w:rPr>
        <w:t xml:space="preserve">CCAG Travaux 2021, articles 14.1, 14.4, 14.4.1 et 14.5, version en vigueur depuis le 1er avril 2021 ; articles 3.1 et 3.2, version en vigueur depuis le 8 octobre 2021.</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Règles par défaut : </w:t>
      </w:r>
      <w:r>
        <w:rPr>
          <w:rFonts w:ascii="Arial" w:cs="Arial" w:eastAsia="Arial" w:hAnsi="Arial"/>
          <w:b w:val="false"/>
          <w:bCs w:val="false"/>
          <w:sz w:val="19"/>
          <w:szCs w:val="19"/>
        </w:rPr>
        <w:t xml:space="preserve">ce modèle applique les règles par défaut du CCAG Travaux 2021. Il ne vaut que si ton marché s’y réfère, et son CCAP peut déroger à chacun des articles cités (article R2112-3 du code de la commande publique) : lis la liste des dérogations de ton CCAP avant de l’utiliser.</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Pas un avis juridique : </w:t>
      </w:r>
      <w:r>
        <w:rPr>
          <w:rFonts w:ascii="Arial" w:cs="Arial" w:eastAsia="Arial" w:hAnsi="Arial"/>
          <w:b w:val="false"/>
          <w:bCs w:val="false"/>
          <w:sz w:val="19"/>
          <w:szCs w:val="19"/>
        </w:rPr>
        <w:t xml:space="preserve">ce modèle ne remplace pas un avocat sur un litige.</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Pourquoi l’envoyer : </w:t>
      </w:r>
      <w:r>
        <w:rPr>
          <w:rFonts w:ascii="Arial" w:cs="Arial" w:eastAsia="Arial" w:hAnsi="Arial"/>
          <w:b w:val="false"/>
          <w:bCs w:val="false"/>
          <w:sz w:val="19"/>
          <w:szCs w:val="19"/>
        </w:rPr>
        <w:t xml:space="preserve">sans cet avis dans le délai, tu es tenu d’arrêter les travaux à la date où le montant exécuté atteint le montant contractuel, et « Les travaux qui sont exécutés au-delà du montant contractuel ne sont pas payés » (article 14.4.1).</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Quand : </w:t>
      </w:r>
      <w:r>
        <w:rPr>
          <w:rFonts w:ascii="Arial" w:cs="Arial" w:eastAsia="Arial" w:hAnsi="Arial"/>
          <w:b w:val="false"/>
          <w:bCs w:val="false"/>
          <w:sz w:val="19"/>
          <w:szCs w:val="19"/>
        </w:rPr>
        <w:t xml:space="preserve">trente jours au moins avant la date probable à laquelle le montant des travaux atteindra le montant contractuel (article 14.4). Le CCAP peut écarter ce préavis quand la durée du marché ne s’y prête pas : vérifie-le.</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À qui : </w:t>
      </w:r>
      <w:r>
        <w:rPr>
          <w:rFonts w:ascii="Arial" w:cs="Arial" w:eastAsia="Arial" w:hAnsi="Arial"/>
          <w:b w:val="false"/>
          <w:bCs w:val="false"/>
          <w:sz w:val="19"/>
          <w:szCs w:val="19"/>
        </w:rPr>
        <w:t xml:space="preserve">au maître d’ouvrage et au maître d’œuvre (article 14.4).</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Le bon montant : </w:t>
      </w:r>
      <w:r>
        <w:rPr>
          <w:rFonts w:ascii="Arial" w:cs="Arial" w:eastAsia="Arial" w:hAnsi="Arial"/>
          <w:b w:val="false"/>
          <w:bCs w:val="false"/>
          <w:sz w:val="19"/>
          <w:szCs w:val="19"/>
        </w:rPr>
        <w:t xml:space="preserve">le montant contractuel est celui du marché initial, éventuellement modifié par les avenants (article 14.1). Des prestations exécutées sur ordre de service, avant tout avenant, rapprochent les travaux de ce montant sans le relever.</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Pour le suivre : </w:t>
      </w:r>
      <w:r>
        <w:rPr>
          <w:rFonts w:ascii="Arial" w:cs="Arial" w:eastAsia="Arial" w:hAnsi="Arial"/>
          <w:b w:val="false"/>
          <w:bCs w:val="false"/>
          <w:sz w:val="19"/>
          <w:szCs w:val="19"/>
        </w:rPr>
        <w:t xml:space="preserve">dans les quinze jours de tout ordre de service qui modifie le montant des travaux, le maître d’œuvre te fait part de son estimation prévisionnelle de cette modification (article 14.5) : reporte-la, avec le cumul de chaque situation, dans l’onglet « Montant contractuel » du registre (modèle 1).</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Comment compter : </w:t>
      </w:r>
      <w:r>
        <w:rPr>
          <w:rFonts w:ascii="Arial" w:cs="Arial" w:eastAsia="Arial" w:hAnsi="Arial"/>
          <w:b w:val="false"/>
          <w:bCs w:val="false"/>
          <w:sz w:val="19"/>
          <w:szCs w:val="19"/>
        </w:rPr>
        <w:t xml:space="preserve">un délai commence le lendemain du fait qui le déclenche, en jours calendaires ; s’il finit un samedi, un dimanche ou un jour férié, il est prolongé jusqu’au premier jour ouvrable suivant (article 3.2). Une notification se date à sa réception (article 3.1) : envoie par un moyen qui prouve la date de réception, et assez tôt pour que ton courrier soit reçu dans le délai.</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Mode d’emploi : </w:t>
      </w:r>
      <w:r>
        <w:rPr>
          <w:rFonts w:ascii="Arial" w:cs="Arial" w:eastAsia="Arial" w:hAnsi="Arial"/>
          <w:b w:val="false"/>
          <w:bCs w:val="false"/>
          <w:sz w:val="19"/>
          <w:szCs w:val="19"/>
        </w:rPr>
        <w:t xml:space="preserve">complète les champs surlignés entre crochets, supprime les options qui ne te concernent pas, puis supprime ce cadre. Modèle Productiv·IA du 27 septembre 2026, à jour des textes relus sur Legifrance ce jour-là.</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Explications : </w:t>
      </w:r>
      <w:r>
        <w:rPr>
          <w:rFonts w:ascii="Arial" w:cs="Arial" w:eastAsia="Arial" w:hAnsi="Arial"/>
          <w:b w:val="false"/>
          <w:bCs w:val="false"/>
          <w:sz w:val="19"/>
          <w:szCs w:val="19"/>
        </w:rPr>
        <w:t xml:space="preserve">productiv-ia.fr/blog/artisan-batiment/ccag-travaux/#montant-contractuel</w:t>
      </w:r>
    </w:p>
    <w:p>
      <w:pPr>
        <w:spacing w:after="280"/>
      </w:pPr>
    </w:p>
    <w:p>
      <w:pPr>
        <w:spacing w:after="0" w:before="0" w:line="276"/>
      </w:pPr>
      <w:r>
        <w:rPr>
          <w:rFonts w:ascii="Arial" w:cs="Arial" w:eastAsia="Arial" w:hAnsi="Arial"/>
          <w:b/>
          <w:bCs/>
          <w:sz w:val="21"/>
          <w:szCs w:val="21"/>
          <w:shd w:fill="FFF1B8" w:color="auto" w:val="clear"/>
        </w:rPr>
        <w:t xml:space="preserve">[Raison sociale de l’entreprise]</w:t>
      </w:r>
    </w:p>
    <w:p>
      <w:pPr>
        <w:spacing w:after="0" w:before="0" w:line="276"/>
      </w:pPr>
      <w:r>
        <w:rPr>
          <w:rFonts w:ascii="Arial" w:cs="Arial" w:eastAsia="Arial" w:hAnsi="Arial"/>
          <w:b w:val="false"/>
          <w:bCs w:val="false"/>
          <w:sz w:val="21"/>
          <w:szCs w:val="21"/>
          <w:shd w:fill="FFF1B8" w:color="auto" w:val="clear"/>
        </w:rPr>
        <w:t xml:space="preserve">[Adresse]</w:t>
      </w:r>
    </w:p>
    <w:p>
      <w:pPr>
        <w:spacing w:after="0" w:before="0" w:line="276"/>
      </w:pPr>
      <w:r>
        <w:rPr>
          <w:rFonts w:ascii="Arial" w:cs="Arial" w:eastAsia="Arial" w:hAnsi="Arial"/>
          <w:b w:val="false"/>
          <w:bCs w:val="false"/>
          <w:sz w:val="21"/>
          <w:szCs w:val="21"/>
          <w:shd w:fill="FFF1B8" w:color="auto" w:val="clear"/>
        </w:rPr>
        <w:t xml:space="preserve">[Code postal, ville]</w:t>
      </w:r>
    </w:p>
    <w:p>
      <w:pPr>
        <w:spacing w:after="0" w:before="0" w:line="276"/>
      </w:pPr>
      <w:r>
        <w:rPr>
          <w:rFonts w:ascii="Arial" w:cs="Arial" w:eastAsia="Arial" w:hAnsi="Arial"/>
          <w:b w:val="false"/>
          <w:bCs w:val="false"/>
          <w:sz w:val="21"/>
          <w:szCs w:val="21"/>
        </w:rPr>
        <w:t xml:space="preserve">SIRET : </w:t>
      </w:r>
      <w:r>
        <w:rPr>
          <w:rFonts w:ascii="Arial" w:cs="Arial" w:eastAsia="Arial" w:hAnsi="Arial"/>
          <w:b w:val="false"/>
          <w:bCs w:val="false"/>
          <w:sz w:val="21"/>
          <w:szCs w:val="21"/>
          <w:shd w:fill="FFF1B8" w:color="auto" w:val="clear"/>
        </w:rPr>
        <w:t xml:space="preserve">[numéro]</w:t>
      </w:r>
    </w:p>
    <w:p>
      <w:pPr>
        <w:spacing w:after="240" w:before="0" w:line="276"/>
      </w:pPr>
      <w:r>
        <w:rPr>
          <w:rFonts w:ascii="Arial" w:cs="Arial" w:eastAsia="Arial" w:hAnsi="Arial"/>
          <w:b w:val="false"/>
          <w:bCs w:val="false"/>
          <w:sz w:val="21"/>
          <w:szCs w:val="21"/>
          <w:shd w:fill="FFF1B8" w:color="auto" w:val="clear"/>
        </w:rPr>
        <w:t xml:space="preserve">[Téléphone, email]</w:t>
      </w:r>
    </w:p>
    <w:p>
      <w:pPr>
        <w:spacing w:after="0" w:before="0" w:line="276"/>
        <w:ind w:left="4820"/>
      </w:pPr>
      <w:r>
        <w:rPr>
          <w:rFonts w:ascii="Arial" w:cs="Arial" w:eastAsia="Arial" w:hAnsi="Arial"/>
          <w:b/>
          <w:bCs/>
          <w:sz w:val="21"/>
          <w:szCs w:val="21"/>
        </w:rPr>
        <w:t xml:space="preserve">Maître d’ouvrage</w:t>
      </w:r>
    </w:p>
    <w:p>
      <w:pPr>
        <w:spacing w:after="0" w:before="0" w:line="276"/>
        <w:ind w:left="4820"/>
      </w:pPr>
      <w:r>
        <w:rPr>
          <w:rFonts w:ascii="Arial" w:cs="Arial" w:eastAsia="Arial" w:hAnsi="Arial"/>
          <w:b w:val="false"/>
          <w:bCs w:val="false"/>
          <w:sz w:val="21"/>
          <w:szCs w:val="21"/>
          <w:shd w:fill="FFF1B8" w:color="auto" w:val="clear"/>
        </w:rPr>
        <w:t xml:space="preserve">[Nom de l’acheteur, service]</w:t>
      </w:r>
    </w:p>
    <w:p>
      <w:pPr>
        <w:spacing w:after="140" w:before="0" w:line="276"/>
        <w:ind w:left="4820"/>
      </w:pPr>
      <w:r>
        <w:rPr>
          <w:rFonts w:ascii="Arial" w:cs="Arial" w:eastAsia="Arial" w:hAnsi="Arial"/>
          <w:b w:val="false"/>
          <w:bCs w:val="false"/>
          <w:sz w:val="21"/>
          <w:szCs w:val="21"/>
          <w:shd w:fill="FFF1B8" w:color="auto" w:val="clear"/>
        </w:rPr>
        <w:t xml:space="preserve">[Adresse]</w:t>
      </w:r>
    </w:p>
    <w:p>
      <w:pPr>
        <w:spacing w:after="0" w:before="0" w:line="276"/>
        <w:ind w:left="4820"/>
      </w:pPr>
      <w:r>
        <w:rPr>
          <w:rFonts w:ascii="Arial" w:cs="Arial" w:eastAsia="Arial" w:hAnsi="Arial"/>
          <w:b/>
          <w:bCs/>
          <w:sz w:val="21"/>
          <w:szCs w:val="21"/>
        </w:rPr>
        <w:t xml:space="preserve">Maître d’œuvre</w:t>
      </w:r>
    </w:p>
    <w:p>
      <w:pPr>
        <w:spacing w:after="0" w:before="0" w:line="276"/>
        <w:ind w:left="4820"/>
      </w:pPr>
      <w:r>
        <w:rPr>
          <w:rFonts w:ascii="Arial" w:cs="Arial" w:eastAsia="Arial" w:hAnsi="Arial"/>
          <w:b w:val="false"/>
          <w:bCs w:val="false"/>
          <w:sz w:val="21"/>
          <w:szCs w:val="21"/>
          <w:shd w:fill="FFF1B8" w:color="auto" w:val="clear"/>
        </w:rPr>
        <w:t xml:space="preserve">[Nom du maître d’œuvre]</w:t>
      </w:r>
    </w:p>
    <w:p>
      <w:pPr>
        <w:spacing w:after="0" w:before="0" w:line="276"/>
        <w:ind w:left="4820"/>
      </w:pPr>
      <w:r>
        <w:rPr>
          <w:rFonts w:ascii="Arial" w:cs="Arial" w:eastAsia="Arial" w:hAnsi="Arial"/>
          <w:b w:val="false"/>
          <w:bCs w:val="false"/>
          <w:sz w:val="21"/>
          <w:szCs w:val="21"/>
          <w:shd w:fill="FFF1B8" w:color="auto" w:val="clear"/>
        </w:rPr>
        <w:t xml:space="preserve">[Adresse]</w:t>
      </w:r>
    </w:p>
    <w:p>
      <w:pPr>
        <w:spacing w:after="200" w:before="0" w:line="276"/>
      </w:pPr>
    </w:p>
    <w:p>
      <w:pPr>
        <w:spacing w:after="60" w:before="0" w:line="276"/>
      </w:pPr>
      <w:r>
        <w:rPr>
          <w:rFonts w:ascii="Arial" w:cs="Arial" w:eastAsia="Arial" w:hAnsi="Arial"/>
          <w:b w:val="false"/>
          <w:bCs w:val="false"/>
          <w:sz w:val="21"/>
          <w:szCs w:val="21"/>
        </w:rPr>
        <w:t xml:space="preserve">Envoi : </w:t>
      </w:r>
      <w:r>
        <w:rPr>
          <w:rFonts w:ascii="Arial" w:cs="Arial" w:eastAsia="Arial" w:hAnsi="Arial"/>
          <w:b w:val="false"/>
          <w:bCs w:val="false"/>
          <w:sz w:val="21"/>
          <w:szCs w:val="21"/>
          <w:shd w:fill="FFF1B8" w:color="auto" w:val="clear"/>
        </w:rPr>
        <w:t xml:space="preserve">[lettre recommandée avec avis de réception / remise contre récépissé / profil d’acheteur / adresse électronique prévue au marché]</w:t>
      </w:r>
    </w:p>
    <w:p>
      <w:pPr>
        <w:spacing w:after="240" w:before="0" w:line="276"/>
      </w:pPr>
      <w:r>
        <w:rPr>
          <w:rFonts w:ascii="Arial" w:cs="Arial" w:eastAsia="Arial" w:hAnsi="Arial"/>
          <w:b w:val="false"/>
          <w:bCs w:val="false"/>
          <w:sz w:val="21"/>
          <w:szCs w:val="21"/>
          <w:shd w:fill="FFF1B8" w:color="auto" w:val="clear"/>
        </w:rPr>
        <w:t xml:space="preserve">[Lieu]</w:t>
      </w:r>
      <w:r>
        <w:rPr>
          <w:rFonts w:ascii="Arial" w:cs="Arial" w:eastAsia="Arial" w:hAnsi="Arial"/>
          <w:b w:val="false"/>
          <w:bCs w:val="false"/>
          <w:sz w:val="21"/>
          <w:szCs w:val="21"/>
        </w:rPr>
        <w:t xml:space="preserve">, le </w:t>
      </w:r>
      <w:r>
        <w:rPr>
          <w:rFonts w:ascii="Arial" w:cs="Arial" w:eastAsia="Arial" w:hAnsi="Arial"/>
          <w:b w:val="false"/>
          <w:bCs w:val="false"/>
          <w:sz w:val="21"/>
          <w:szCs w:val="21"/>
          <w:shd w:fill="FFF1B8" w:color="auto" w:val="clear"/>
        </w:rPr>
        <w:t xml:space="preserve">[date]</w:t>
      </w:r>
    </w:p>
    <w:p>
      <w:pPr>
        <w:spacing w:after="60" w:before="0" w:line="276"/>
      </w:pPr>
      <w:r>
        <w:rPr>
          <w:rFonts w:ascii="Arial" w:cs="Arial" w:eastAsia="Arial" w:hAnsi="Arial"/>
          <w:b/>
          <w:bCs/>
          <w:sz w:val="21"/>
          <w:szCs w:val="21"/>
        </w:rPr>
        <w:t xml:space="preserve">Objet : avis de la date probable à laquelle le montant des travaux atteindra le montant contractuel (article 14.4 du CCAG Travaux 2021)</w:t>
      </w:r>
    </w:p>
    <w:p>
      <w:pPr>
        <w:spacing w:after="260" w:before="0" w:line="276"/>
      </w:pPr>
      <w:r>
        <w:rPr>
          <w:rFonts w:ascii="Arial" w:cs="Arial" w:eastAsia="Arial" w:hAnsi="Arial"/>
          <w:b w:val="false"/>
          <w:bCs w:val="false"/>
          <w:sz w:val="21"/>
          <w:szCs w:val="21"/>
        </w:rPr>
        <w:t xml:space="preserve">Marché : </w:t>
      </w:r>
      <w:r>
        <w:rPr>
          <w:rFonts w:ascii="Arial" w:cs="Arial" w:eastAsia="Arial" w:hAnsi="Arial"/>
          <w:b w:val="false"/>
          <w:bCs w:val="false"/>
          <w:sz w:val="21"/>
          <w:szCs w:val="21"/>
          <w:shd w:fill="FFF1B8" w:color="auto" w:val="clear"/>
        </w:rPr>
        <w:t xml:space="preserve">[intitulé et numéro du marché]</w:t>
      </w:r>
      <w:r>
        <w:rPr>
          <w:rFonts w:ascii="Arial" w:cs="Arial" w:eastAsia="Arial" w:hAnsi="Arial"/>
          <w:b w:val="false"/>
          <w:bCs w:val="false"/>
          <w:sz w:val="21"/>
          <w:szCs w:val="21"/>
        </w:rPr>
        <w:t xml:space="preserve">, lot </w:t>
      </w:r>
      <w:r>
        <w:rPr>
          <w:rFonts w:ascii="Arial" w:cs="Arial" w:eastAsia="Arial" w:hAnsi="Arial"/>
          <w:b w:val="false"/>
          <w:bCs w:val="false"/>
          <w:sz w:val="21"/>
          <w:szCs w:val="21"/>
          <w:shd w:fill="FFF1B8" w:color="auto" w:val="clear"/>
        </w:rPr>
        <w:t xml:space="preserve">[numéro et intitulé du lot]</w:t>
      </w:r>
      <w:r>
        <w:rPr>
          <w:rFonts w:ascii="Arial" w:cs="Arial" w:eastAsia="Arial" w:hAnsi="Arial"/>
          <w:b w:val="false"/>
          <w:bCs w:val="false"/>
          <w:sz w:val="21"/>
          <w:szCs w:val="21"/>
        </w:rPr>
        <w:t xml:space="preserve">, notifié le </w:t>
      </w:r>
      <w:r>
        <w:rPr>
          <w:rFonts w:ascii="Arial" w:cs="Arial" w:eastAsia="Arial" w:hAnsi="Arial"/>
          <w:b w:val="false"/>
          <w:bCs w:val="false"/>
          <w:sz w:val="21"/>
          <w:szCs w:val="21"/>
          <w:shd w:fill="FFF1B8" w:color="auto" w:val="clear"/>
        </w:rPr>
        <w:t xml:space="preserve">[date]</w:t>
      </w:r>
    </w:p>
    <w:p>
      <w:pPr>
        <w:keepNext/>
        <w:spacing w:after="140" w:before="0" w:line="276"/>
      </w:pPr>
      <w:r>
        <w:rPr>
          <w:rFonts w:ascii="Arial" w:cs="Arial" w:eastAsia="Arial" w:hAnsi="Arial"/>
          <w:b w:val="false"/>
          <w:bCs w:val="false"/>
          <w:sz w:val="21"/>
          <w:szCs w:val="21"/>
        </w:rPr>
        <w:t xml:space="preserve">Madame, Monsieur,</w:t>
      </w:r>
    </w:p>
    <w:p>
      <w:pPr>
        <w:spacing w:after="140" w:before="0" w:line="276"/>
      </w:pPr>
      <w:r>
        <w:rPr>
          <w:rFonts w:ascii="Arial" w:cs="Arial" w:eastAsia="Arial" w:hAnsi="Arial"/>
          <w:b w:val="false"/>
          <w:bCs w:val="false"/>
          <w:sz w:val="21"/>
          <w:szCs w:val="21"/>
        </w:rPr>
        <w:t xml:space="preserve">Conformément à l’article 14.4 du CCAG Travaux 2021, auquel se réfère le marché cité en référence, nous vous avisons que, selon nos prévisions, le montant des travaux atteindra le montant contractuel à la date probable du </w:t>
      </w:r>
      <w:r>
        <w:rPr>
          <w:rFonts w:ascii="Arial" w:cs="Arial" w:eastAsia="Arial" w:hAnsi="Arial"/>
          <w:b/>
          <w:bCs/>
          <w:sz w:val="21"/>
          <w:szCs w:val="21"/>
          <w:shd w:fill="FFF1B8" w:color="auto" w:val="clear"/>
        </w:rPr>
        <w:t xml:space="preserve">[date]</w:t>
      </w:r>
      <w:r>
        <w:rPr>
          <w:rFonts w:ascii="Arial" w:cs="Arial" w:eastAsia="Arial" w:hAnsi="Arial"/>
          <w:b w:val="false"/>
          <w:bCs w:val="false"/>
          <w:sz w:val="21"/>
          <w:szCs w:val="21"/>
        </w:rPr>
        <w:t xml:space="preserve">.</w:t>
      </w:r>
    </w:p>
    <w:p>
      <w:pPr>
        <w:spacing w:after="140" w:before="0" w:line="276"/>
      </w:pPr>
      <w:r>
        <w:rPr>
          <w:rFonts w:ascii="Arial" w:cs="Arial" w:eastAsia="Arial" w:hAnsi="Arial"/>
          <w:b w:val="false"/>
          <w:bCs w:val="false"/>
          <w:sz w:val="21"/>
          <w:szCs w:val="21"/>
        </w:rPr>
        <w:t xml:space="preserve">Le montant contractuel est de </w:t>
      </w:r>
      <w:r>
        <w:rPr>
          <w:rFonts w:ascii="Arial" w:cs="Arial" w:eastAsia="Arial" w:hAnsi="Arial"/>
          <w:b w:val="false"/>
          <w:bCs w:val="false"/>
          <w:sz w:val="21"/>
          <w:szCs w:val="21"/>
          <w:shd w:fill="FFF1B8" w:color="auto" w:val="clear"/>
        </w:rPr>
        <w:t xml:space="preserve">[montant]</w:t>
      </w:r>
      <w:r>
        <w:rPr>
          <w:rFonts w:ascii="Arial" w:cs="Arial" w:eastAsia="Arial" w:hAnsi="Arial"/>
          <w:b w:val="false"/>
          <w:bCs w:val="false"/>
          <w:sz w:val="21"/>
          <w:szCs w:val="21"/>
        </w:rPr>
        <w:t xml:space="preserve"> € HT : marché initial de </w:t>
      </w:r>
      <w:r>
        <w:rPr>
          <w:rFonts w:ascii="Arial" w:cs="Arial" w:eastAsia="Arial" w:hAnsi="Arial"/>
          <w:b w:val="false"/>
          <w:bCs w:val="false"/>
          <w:sz w:val="21"/>
          <w:szCs w:val="21"/>
          <w:shd w:fill="FFF1B8" w:color="auto" w:val="clear"/>
        </w:rPr>
        <w:t xml:space="preserve">[montant]</w:t>
      </w:r>
      <w:r>
        <w:rPr>
          <w:rFonts w:ascii="Arial" w:cs="Arial" w:eastAsia="Arial" w:hAnsi="Arial"/>
          <w:b w:val="false"/>
          <w:bCs w:val="false"/>
          <w:sz w:val="21"/>
          <w:szCs w:val="21"/>
        </w:rPr>
        <w:t xml:space="preserve"> € HT, </w:t>
      </w:r>
      <w:r>
        <w:rPr>
          <w:rFonts w:ascii="Arial" w:cs="Arial" w:eastAsia="Arial" w:hAnsi="Arial"/>
          <w:b w:val="false"/>
          <w:bCs w:val="false"/>
          <w:sz w:val="21"/>
          <w:szCs w:val="21"/>
          <w:shd w:fill="FFF1B8" w:color="auto" w:val="clear"/>
        </w:rPr>
        <w:t xml:space="preserve">[modifié par l’avenant n° [numéro] du [date] / non modifié par avenant]</w:t>
      </w:r>
      <w:r>
        <w:rPr>
          <w:rFonts w:ascii="Arial" w:cs="Arial" w:eastAsia="Arial" w:hAnsi="Arial"/>
          <w:b w:val="false"/>
          <w:bCs w:val="false"/>
          <w:sz w:val="21"/>
          <w:szCs w:val="21"/>
        </w:rPr>
        <w:t xml:space="preserve">.</w:t>
      </w:r>
    </w:p>
    <w:p>
      <w:pPr>
        <w:keepNext/>
        <w:spacing w:after="140" w:before="0" w:line="276"/>
      </w:pPr>
      <w:r>
        <w:rPr>
          <w:rFonts w:ascii="Arial" w:cs="Arial" w:eastAsia="Arial" w:hAnsi="Arial"/>
          <w:b w:val="false"/>
          <w:bCs w:val="false"/>
          <w:sz w:val="21"/>
          <w:szCs w:val="21"/>
        </w:rPr>
        <w:t xml:space="preserve">Cette prévision repose sur les éléments suivants :</w:t>
      </w:r>
    </w:p>
    <w:p>
      <w:pPr>
        <w:pStyle w:val="ListParagraph"/>
        <w:numPr>
          <w:ilvl w:val="0"/>
          <w:numId w:val="2"/>
        </w:numPr>
        <w:spacing w:after="80" w:line="276"/>
      </w:pPr>
      <w:r>
        <w:rPr>
          <w:rFonts w:ascii="Arial" w:cs="Arial" w:eastAsia="Arial" w:hAnsi="Arial"/>
          <w:b w:val="false"/>
          <w:bCs w:val="false"/>
          <w:sz w:val="21"/>
          <w:szCs w:val="21"/>
        </w:rPr>
        <w:t xml:space="preserve">montant des travaux exécutés au </w:t>
      </w:r>
      <w:r>
        <w:rPr>
          <w:rFonts w:ascii="Arial" w:cs="Arial" w:eastAsia="Arial" w:hAnsi="Arial"/>
          <w:b w:val="false"/>
          <w:bCs w:val="false"/>
          <w:sz w:val="21"/>
          <w:szCs w:val="21"/>
          <w:shd w:fill="FFF1B8" w:color="auto" w:val="clear"/>
        </w:rPr>
        <w:t xml:space="preserve">[date]</w:t>
      </w:r>
      <w:r>
        <w:rPr>
          <w:rFonts w:ascii="Arial" w:cs="Arial" w:eastAsia="Arial" w:hAnsi="Arial"/>
          <w:b w:val="false"/>
          <w:bCs w:val="false"/>
          <w:sz w:val="21"/>
          <w:szCs w:val="21"/>
        </w:rPr>
        <w:t xml:space="preserve"> : </w:t>
      </w:r>
      <w:r>
        <w:rPr>
          <w:rFonts w:ascii="Arial" w:cs="Arial" w:eastAsia="Arial" w:hAnsi="Arial"/>
          <w:b w:val="false"/>
          <w:bCs w:val="false"/>
          <w:sz w:val="21"/>
          <w:szCs w:val="21"/>
          <w:shd w:fill="FFF1B8" w:color="auto" w:val="clear"/>
        </w:rPr>
        <w:t xml:space="preserve">[montant]</w:t>
      </w:r>
      <w:r>
        <w:rPr>
          <w:rFonts w:ascii="Arial" w:cs="Arial" w:eastAsia="Arial" w:hAnsi="Arial"/>
          <w:b w:val="false"/>
          <w:bCs w:val="false"/>
          <w:sz w:val="21"/>
          <w:szCs w:val="21"/>
        </w:rPr>
        <w:t xml:space="preserve"> € HT, selon </w:t>
      </w:r>
      <w:r>
        <w:rPr>
          <w:rFonts w:ascii="Arial" w:cs="Arial" w:eastAsia="Arial" w:hAnsi="Arial"/>
          <w:b w:val="false"/>
          <w:bCs w:val="false"/>
          <w:sz w:val="21"/>
          <w:szCs w:val="21"/>
          <w:shd w:fill="FFF1B8" w:color="auto" w:val="clear"/>
        </w:rPr>
        <w:t xml:space="preserve">[notre projet de décompte mensuel n° [numéro] / l’état d’acompte n° [numéro]]</w:t>
      </w:r>
      <w:r>
        <w:rPr>
          <w:rFonts w:ascii="Arial" w:cs="Arial" w:eastAsia="Arial" w:hAnsi="Arial"/>
          <w:b w:val="false"/>
          <w:bCs w:val="false"/>
          <w:sz w:val="21"/>
          <w:szCs w:val="21"/>
        </w:rPr>
        <w:t xml:space="preserve"> ;</w:t>
      </w:r>
    </w:p>
    <w:p>
      <w:pPr>
        <w:pStyle w:val="ListParagraph"/>
        <w:numPr>
          <w:ilvl w:val="0"/>
          <w:numId w:val="2"/>
        </w:numPr>
        <w:spacing w:after="80" w:line="276"/>
      </w:pPr>
      <w:r>
        <w:rPr>
          <w:rFonts w:ascii="Arial" w:cs="Arial" w:eastAsia="Arial" w:hAnsi="Arial"/>
          <w:b w:val="false"/>
          <w:bCs w:val="false"/>
          <w:sz w:val="21"/>
          <w:szCs w:val="21"/>
        </w:rPr>
        <w:t xml:space="preserve">travaux restant à exécuter, y compris ceux prescrits par </w:t>
      </w:r>
      <w:r>
        <w:rPr>
          <w:rFonts w:ascii="Arial" w:cs="Arial" w:eastAsia="Arial" w:hAnsi="Arial"/>
          <w:b w:val="false"/>
          <w:bCs w:val="false"/>
          <w:sz w:val="21"/>
          <w:szCs w:val="21"/>
          <w:shd w:fill="FFF1B8" w:color="auto" w:val="clear"/>
        </w:rPr>
        <w:t xml:space="preserve">[les ordres de service n° [numéros]]</w:t>
      </w:r>
      <w:r>
        <w:rPr>
          <w:rFonts w:ascii="Arial" w:cs="Arial" w:eastAsia="Arial" w:hAnsi="Arial"/>
          <w:b w:val="false"/>
          <w:bCs w:val="false"/>
          <w:sz w:val="21"/>
          <w:szCs w:val="21"/>
        </w:rPr>
        <w:t xml:space="preserve"> : </w:t>
      </w:r>
      <w:r>
        <w:rPr>
          <w:rFonts w:ascii="Arial" w:cs="Arial" w:eastAsia="Arial" w:hAnsi="Arial"/>
          <w:b w:val="false"/>
          <w:bCs w:val="false"/>
          <w:sz w:val="21"/>
          <w:szCs w:val="21"/>
          <w:shd w:fill="FFF1B8" w:color="auto" w:val="clear"/>
        </w:rPr>
        <w:t xml:space="preserve">[montant]</w:t>
      </w:r>
      <w:r>
        <w:rPr>
          <w:rFonts w:ascii="Arial" w:cs="Arial" w:eastAsia="Arial" w:hAnsi="Arial"/>
          <w:b w:val="false"/>
          <w:bCs w:val="false"/>
          <w:sz w:val="21"/>
          <w:szCs w:val="21"/>
        </w:rPr>
        <w:t xml:space="preserve"> € HT selon notre estimation ;</w:t>
      </w:r>
    </w:p>
    <w:p>
      <w:pPr>
        <w:pStyle w:val="ListParagraph"/>
        <w:numPr>
          <w:ilvl w:val="0"/>
          <w:numId w:val="2"/>
        </w:numPr>
        <w:spacing w:after="80" w:line="276"/>
      </w:pPr>
      <w:r>
        <w:rPr>
          <w:rFonts w:ascii="Arial" w:cs="Arial" w:eastAsia="Arial" w:hAnsi="Arial"/>
          <w:b w:val="false"/>
          <w:bCs w:val="false"/>
          <w:sz w:val="21"/>
          <w:szCs w:val="21"/>
          <w:shd w:fill="FFF1B8" w:color="auto" w:val="clear"/>
        </w:rPr>
        <w:t xml:space="preserve">[autres éléments : rythme d’avancement, quantités exécutées au-delà du détail estimatif, sujétions rencontrées]</w:t>
      </w:r>
      <w:r>
        <w:rPr>
          <w:rFonts w:ascii="Arial" w:cs="Arial" w:eastAsia="Arial" w:hAnsi="Arial"/>
          <w:b w:val="false"/>
          <w:bCs w:val="false"/>
          <w:sz w:val="21"/>
          <w:szCs w:val="21"/>
        </w:rPr>
        <w:t xml:space="preserve">.</w:t>
      </w:r>
    </w:p>
    <w:p>
      <w:pPr>
        <w:spacing w:after="140" w:before="80" w:line="276"/>
      </w:pPr>
      <w:r>
        <w:rPr>
          <w:rFonts w:ascii="Arial" w:cs="Arial" w:eastAsia="Arial" w:hAnsi="Arial"/>
          <w:b w:val="false"/>
          <w:bCs w:val="false"/>
          <w:sz w:val="21"/>
          <w:szCs w:val="21"/>
        </w:rPr>
        <w:t xml:space="preserve">Nous vous remercions de nous faire connaître la suite que vous entendez donner à cet avis, </w:t>
      </w:r>
      <w:r>
        <w:rPr>
          <w:rFonts w:ascii="Arial" w:cs="Arial" w:eastAsia="Arial" w:hAnsi="Arial"/>
          <w:b w:val="false"/>
          <w:bCs w:val="false"/>
          <w:sz w:val="21"/>
          <w:szCs w:val="21"/>
          <w:shd w:fill="FFF1B8" w:color="auto" w:val="clear"/>
        </w:rPr>
        <w:t xml:space="preserve">[et restons à votre disposition pour la préparation d’un avenant]</w:t>
      </w:r>
      <w:r>
        <w:rPr>
          <w:rFonts w:ascii="Arial" w:cs="Arial" w:eastAsia="Arial" w:hAnsi="Arial"/>
          <w:b w:val="false"/>
          <w:bCs w:val="false"/>
          <w:sz w:val="21"/>
          <w:szCs w:val="21"/>
        </w:rPr>
        <w:t xml:space="preserve">.</w:t>
      </w:r>
    </w:p>
    <w:p>
      <w:pPr>
        <w:keepNext/>
        <w:spacing w:after="360" w:before="120" w:line="276"/>
      </w:pPr>
      <w:r>
        <w:rPr>
          <w:rFonts w:ascii="Arial" w:cs="Arial" w:eastAsia="Arial" w:hAnsi="Arial"/>
          <w:b w:val="false"/>
          <w:bCs w:val="false"/>
          <w:sz w:val="21"/>
          <w:szCs w:val="21"/>
        </w:rPr>
        <w:t xml:space="preserve">Nous vous prions d’agréer, Madame, Monsieur, l’expression de nos salutations distinguées.</w:t>
      </w:r>
    </w:p>
    <w:p>
      <w:pPr>
        <w:keepNext/>
        <w:spacing w:after="0" w:before="0" w:line="276"/>
        <w:ind w:left="4820"/>
      </w:pPr>
      <w:r>
        <w:rPr>
          <w:rFonts w:ascii="Arial" w:cs="Arial" w:eastAsia="Arial" w:hAnsi="Arial"/>
          <w:b w:val="false"/>
          <w:bCs w:val="false"/>
          <w:sz w:val="21"/>
          <w:szCs w:val="21"/>
          <w:shd w:fill="FFF1B8" w:color="auto" w:val="clear"/>
        </w:rPr>
        <w:t xml:space="preserve">[Nom et prénom du signataire]</w:t>
      </w:r>
    </w:p>
    <w:p>
      <w:pPr>
        <w:keepNext/>
        <w:spacing w:after="0" w:before="0" w:line="276"/>
        <w:ind w:left="4820"/>
      </w:pPr>
      <w:r>
        <w:rPr>
          <w:rFonts w:ascii="Arial" w:cs="Arial" w:eastAsia="Arial" w:hAnsi="Arial"/>
          <w:b w:val="false"/>
          <w:bCs w:val="false"/>
          <w:sz w:val="21"/>
          <w:szCs w:val="21"/>
          <w:shd w:fill="FFF1B8" w:color="auto" w:val="clear"/>
        </w:rPr>
        <w:t xml:space="preserve">[Qualité : gérant, président, directeur de travaux]</w:t>
      </w:r>
    </w:p>
    <w:p>
      <w:pPr>
        <w:spacing w:after="300" w:before="0" w:line="276"/>
        <w:ind w:left="4820"/>
      </w:pPr>
      <w:r>
        <w:rPr>
          <w:rFonts w:ascii="Arial" w:cs="Arial" w:eastAsia="Arial" w:hAnsi="Arial"/>
          <w:b w:val="false"/>
          <w:bCs w:val="false"/>
          <w:sz w:val="21"/>
          <w:szCs w:val="21"/>
          <w:shd w:fill="FFF1B8" w:color="auto" w:val="clear"/>
        </w:rPr>
        <w:t xml:space="preserve">[Signature]</w:t>
      </w:r>
    </w:p>
    <w:p>
      <w:pPr>
        <w:keepNext/>
        <w:spacing w:after="60" w:before="0" w:line="276"/>
      </w:pPr>
      <w:r>
        <w:rPr>
          <w:rFonts w:ascii="Arial" w:cs="Arial" w:eastAsia="Arial" w:hAnsi="Arial"/>
          <w:b/>
          <w:bCs/>
          <w:sz w:val="21"/>
          <w:szCs w:val="21"/>
        </w:rPr>
        <w:t xml:space="preserve">Pièces jointes</w:t>
      </w:r>
    </w:p>
    <w:p>
      <w:pPr>
        <w:pStyle w:val="ListParagraph"/>
        <w:numPr>
          <w:ilvl w:val="0"/>
          <w:numId w:val="3"/>
        </w:numPr>
        <w:spacing w:after="80" w:line="276"/>
      </w:pPr>
      <w:r>
        <w:rPr>
          <w:rFonts w:ascii="Arial" w:cs="Arial" w:eastAsia="Arial" w:hAnsi="Arial"/>
          <w:b w:val="false"/>
          <w:bCs w:val="false"/>
          <w:sz w:val="21"/>
          <w:szCs w:val="21"/>
          <w:shd w:fill="FFF1B8" w:color="auto" w:val="clear"/>
        </w:rPr>
        <w:t xml:space="preserve">[Dernier projet de décompte mensuel]</w:t>
      </w:r>
    </w:p>
    <w:p>
      <w:pPr>
        <w:pStyle w:val="ListParagraph"/>
        <w:numPr>
          <w:ilvl w:val="0"/>
          <w:numId w:val="3"/>
        </w:numPr>
        <w:spacing w:after="80" w:line="276"/>
      </w:pPr>
      <w:r>
        <w:rPr>
          <w:rFonts w:ascii="Arial" w:cs="Arial" w:eastAsia="Arial" w:hAnsi="Arial"/>
          <w:b w:val="false"/>
          <w:bCs w:val="false"/>
          <w:sz w:val="21"/>
          <w:szCs w:val="21"/>
          <w:shd w:fill="FFF1B8" w:color="auto" w:val="clear"/>
        </w:rPr>
        <w:t xml:space="preserve">[Tableau de suivi du montant des travaux]</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320"/>
      </w:pPr>
    </w:lvl>
  </w:abstractNum>
  <w:abstractNum w:abstractNumId="4" w15:restartNumberingAfterBreak="0">
    <w:multiLevelType w:val="hybridMultilevel"/>
    <w:lvl w:ilvl="0" w15:tentative="1">
      <w:start w:val="1"/>
      <w:numFmt w:val="decimal"/>
      <w:lvlText w:val="%1."/>
      <w:lvlJc w:val="left"/>
      <w:pPr>
        <w:ind w:left="460" w:hanging="320"/>
      </w:pPr>
    </w:lvl>
  </w:abstractNum>
  <w:abstractNum w:abstractNumId="5" w15:restartNumberingAfterBreak="0">
    <w:multiLevelType w:val="hybridMultilevel"/>
    <w:lvl w:ilvl="0" w15:tentative="1">
      <w:start w:val="1"/>
      <w:numFmt w:val="decimal"/>
      <w:lvlText w:val="%1."/>
      <w:lvlJc w:val="left"/>
      <w:pPr>
        <w:ind w:left="460" w:hanging="320"/>
      </w:pPr>
    </w:lvl>
  </w:abstractNum>
  <w:num w:numId="1">
    <w:abstractNumId w:val="1"/>
    <w:lvlOverride w:ilvl="0">
      <w:startOverride w:val="1"/>
    </w:lvlOverride>
  </w:num>
  <w:num w:numId="2">
    <w:abstractNumId w:val="2"/>
    <w:lvlOverride w:ilvl="0">
      <w:startOverride w:val="1"/>
    </w:lvlOverride>
  </w:num>
  <w:num w:numId="3">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d'atteinte du montant contractuel (CCAG Travaux 2021, article 14.4)</dc:title>
  <dc:creator>Productiv·IA</dc:creator>
  <dc:description>Modèle de courrier, règles par défaut du CCAG Travaux 2021</dc:description>
  <cp:lastModifiedBy>Un-named</cp:lastModifiedBy>
  <cp:revision>1</cp:revision>
  <dcterms:created xsi:type="dcterms:W3CDTF">2026-09-27T20:58:39.465Z</dcterms:created>
  <dcterms:modified xsi:type="dcterms:W3CDTF">2026-09-27T20:58:39.465Z</dcterms:modified>
</cp:coreProperties>
</file>

<file path=docProps/custom.xml><?xml version="1.0" encoding="utf-8"?>
<Properties xmlns="http://schemas.openxmlformats.org/officeDocument/2006/custom-properties" xmlns:vt="http://schemas.openxmlformats.org/officeDocument/2006/docPropsVTypes"/>
</file>