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0D9488" w:sz="24" w:space="8"/>
        </w:pBdr>
        <w:shd w:fill="E8F6F4" w:color="auto" w:val="clear"/>
        <w:spacing w:after="70" w:line="264"/>
        <w:ind w:left="170" w:right="170"/>
      </w:pPr>
      <w:r>
        <w:rPr>
          <w:rFonts w:ascii="Arial" w:cs="Arial" w:eastAsia="Arial" w:hAnsi="Arial"/>
          <w:b/>
          <w:bCs/>
          <w:color w:val="0D9488"/>
          <w:sz w:val="17"/>
          <w:szCs w:val="17"/>
        </w:rPr>
        <w:t xml:space="preserve">À LIRE, PUIS SUPPRIMER CE CADRE AVANT ENVOI</w:t>
      </w:r>
    </w:p>
    <w:p>
      <w:pPr>
        <w:pBdr>
          <w:left w:val="single" w:color="0D9488" w:sz="24" w:space="8"/>
        </w:pBdr>
        <w:shd w:fill="E8F6F4" w:color="auto" w:val="clear"/>
        <w:spacing w:after="110" w:line="264"/>
        <w:ind w:left="170" w:right="170"/>
      </w:pPr>
      <w:r>
        <w:rPr>
          <w:rFonts w:ascii="Arial" w:cs="Arial" w:eastAsia="Arial" w:hAnsi="Arial"/>
          <w:b/>
          <w:bCs/>
          <w:sz w:val="26"/>
          <w:szCs w:val="26"/>
        </w:rPr>
        <w:t xml:space="preserve">Modèle 5 · Décompte général : renvoi signé avec réserves et mémoire en réclamation</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Repose sur : </w:t>
      </w:r>
      <w:r>
        <w:rPr>
          <w:rFonts w:ascii="Arial" w:cs="Arial" w:eastAsia="Arial" w:hAnsi="Arial"/>
          <w:b w:val="false"/>
          <w:bCs w:val="false"/>
          <w:sz w:val="19"/>
          <w:szCs w:val="19"/>
        </w:rPr>
        <w:t xml:space="preserve">CCAG Travaux 2021, articles 12.4.2, 12.4.3 et 12.4.5 (version en vigueur depuis le 8 octobre 2021), articles 55.1.1 à 55.1.3, 55.2.3 et 55.3 (version en vigueur depuis le 1er avril 2021) ; Conseil d’État, 27 septembre 2021, Société Amica, n° 442455, sur ce que doit contenir une réclamation.</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Règles par défaut : </w:t>
      </w:r>
      <w:r>
        <w:rPr>
          <w:rFonts w:ascii="Arial" w:cs="Arial" w:eastAsia="Arial" w:hAnsi="Arial"/>
          <w:b w:val="false"/>
          <w:bCs w:val="false"/>
          <w:sz w:val="19"/>
          <w:szCs w:val="19"/>
        </w:rPr>
        <w:t xml:space="preserve">ce modèle applique les règles par défaut du CCAG Travaux 2021. Il ne vaut que si ton marché s’y réfère, et son CCAP peut déroger à chacun des articles cités (article R2112-3 du code de la commande publique) : lis la liste des dérogations de ton CCAP avant de l’utiliser.</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Avocat : </w:t>
      </w:r>
      <w:r>
        <w:rPr>
          <w:rFonts w:ascii="Arial" w:cs="Arial" w:eastAsia="Arial" w:hAnsi="Arial"/>
          <w:b w:val="false"/>
          <w:bCs w:val="false"/>
          <w:sz w:val="19"/>
          <w:szCs w:val="19"/>
        </w:rPr>
        <w:t xml:space="preserve">ce modèle ne remplace pas un avocat sur un litige. Sur un décompte contesté, consulte-le avant d’envoyer le mémoire : c’est le mémoire qui fixe ce que le juge pourra examiner (article 55.3.1).</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Délai : </w:t>
      </w:r>
      <w:r>
        <w:rPr>
          <w:rFonts w:ascii="Arial" w:cs="Arial" w:eastAsia="Arial" w:hAnsi="Arial"/>
          <w:b w:val="false"/>
          <w:bCs w:val="false"/>
          <w:sz w:val="19"/>
          <w:szCs w:val="19"/>
        </w:rPr>
        <w:t xml:space="preserve">trente jours à compter de la notification du décompte général, pour les deux pièces : le décompte renvoyé au maître d’ouvrage, copie au maître d’œuvre, signé avec ou sans réserves, ou les motifs du refus de le signer (article 12.4.3), et le mémoire en réclamation (article 55.1.1). Faute de renvoi dans ce délai, ou si les réserves ne sont pas motivées en détail avec le montant des réclamations, le décompte est réputé accepté et devient le décompte général et définitif (article 12.4.5).</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Une réserve sans montant ne réserve rien : </w:t>
      </w:r>
      <w:r>
        <w:rPr>
          <w:rFonts w:ascii="Arial" w:cs="Arial" w:eastAsia="Arial" w:hAnsi="Arial"/>
          <w:b w:val="false"/>
          <w:bCs w:val="false"/>
          <w:sz w:val="19"/>
          <w:szCs w:val="19"/>
        </w:rPr>
        <w:t xml:space="preserve">pour chaque chef de contestation : le montant, les motifs et la base de calcul (CE, 27 septembre 2021). Joins les pièces : un simple renvoi à un document déjà envoyé, sans le joindre, ne vaut pas réclamation (même décision). Et tes réserves ne couvrent que ce qu’elles visent : pour le reste, tu es lié par ton acceptation implicite (article 12.4.3).</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Forclusion : </w:t>
      </w:r>
      <w:r>
        <w:rPr>
          <w:rFonts w:ascii="Arial" w:cs="Arial" w:eastAsia="Arial" w:hAnsi="Arial"/>
          <w:b w:val="false"/>
          <w:bCs w:val="false"/>
          <w:sz w:val="19"/>
          <w:szCs w:val="19"/>
        </w:rPr>
        <w:t xml:space="preserve">le mémoire reprend, sous peine de forclusion, les réclamations formulées avant la notification du décompte général et qui n’ont pas fait l’objet d’un règlement définitif (article 55.1.1). Une réclamation du chantier oubliée ici est perdue.</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Ensuite : </w:t>
      </w:r>
      <w:r>
        <w:rPr>
          <w:rFonts w:ascii="Arial" w:cs="Arial" w:eastAsia="Arial" w:hAnsi="Arial"/>
          <w:b w:val="false"/>
          <w:bCs w:val="false"/>
          <w:sz w:val="19"/>
          <w:szCs w:val="19"/>
        </w:rPr>
        <w:t xml:space="preserve">le maître d’ouvrage règle dans les trente jours les sommes admises dans le décompte final (article 12.4.3), et notifie sa décision motivée sur la réclamation dans les trente jours de la réception du mémoire ; son silence vaut rejet (articles 55.1.2 et 55.1.3). Tu as alors six mois pour saisir le tribunal administratif, faute de quoi la réclamation est irrecevable (articles 55.3.2 et 55.3.3). La saisine d’un comité consultatif de règlement amiable, d’un conciliateur ou d’un médiateur interrompt les délais de recours contentieux (article 55.2.3).</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Version du CCAG : </w:t>
      </w:r>
      <w:r>
        <w:rPr>
          <w:rFonts w:ascii="Arial" w:cs="Arial" w:eastAsia="Arial" w:hAnsi="Arial"/>
          <w:b w:val="false"/>
          <w:bCs w:val="false"/>
          <w:sz w:val="19"/>
          <w:szCs w:val="19"/>
        </w:rPr>
        <w:t xml:space="preserve">sous le CCAG Travaux 2009 d’origine (consultations engagées avant le 1er avril 2014), le délai était de quarante-cinq jours et les articles portent les numéros 13 et 50. Vérifie la version que vise ton CCAP.</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Comment compter : </w:t>
      </w:r>
      <w:r>
        <w:rPr>
          <w:rFonts w:ascii="Arial" w:cs="Arial" w:eastAsia="Arial" w:hAnsi="Arial"/>
          <w:b w:val="false"/>
          <w:bCs w:val="false"/>
          <w:sz w:val="19"/>
          <w:szCs w:val="19"/>
        </w:rPr>
        <w:t xml:space="preserve">un délai commence le lendemain du fait qui le déclenche, en jours calendaires ; s’il finit un samedi, un dimanche ou un jour férié, il est prolongé jusqu’au premier jour ouvrable suivant (article 3.2). Une notification se date à sa réception (article 3.1) : envoie par un moyen qui prouve la date de réception, et assez tôt pour que ton courrier soit reçu dans le délai.</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Mode d’emploi : </w:t>
      </w:r>
      <w:r>
        <w:rPr>
          <w:rFonts w:ascii="Arial" w:cs="Arial" w:eastAsia="Arial" w:hAnsi="Arial"/>
          <w:b w:val="false"/>
          <w:bCs w:val="false"/>
          <w:sz w:val="19"/>
          <w:szCs w:val="19"/>
        </w:rPr>
        <w:t xml:space="preserve">complète les champs surlignés entre crochets, supprime les options qui ne te concernent pas, puis supprime ce cadre. Modèle Productiv·IA du 27 septembre 2026, à jour des textes relus sur Legifrance ce jour-là.</w:t>
      </w:r>
    </w:p>
    <w:p>
      <w:pPr>
        <w:pBdr>
          <w:left w:val="single" w:color="0D9488" w:sz="24" w:space="8"/>
        </w:pBdr>
        <w:shd w:fill="E8F6F4" w:color="auto" w:val="clear"/>
        <w:spacing w:after="70" w:line="264"/>
        <w:ind w:left="170" w:right="170"/>
      </w:pPr>
      <w:r>
        <w:rPr>
          <w:rFonts w:ascii="Arial" w:cs="Arial" w:eastAsia="Arial" w:hAnsi="Arial"/>
          <w:b/>
          <w:bCs/>
          <w:sz w:val="19"/>
          <w:szCs w:val="19"/>
        </w:rPr>
        <w:t xml:space="preserve">Explications : </w:t>
      </w:r>
      <w:r>
        <w:rPr>
          <w:rFonts w:ascii="Arial" w:cs="Arial" w:eastAsia="Arial" w:hAnsi="Arial"/>
          <w:b w:val="false"/>
          <w:bCs w:val="false"/>
          <w:sz w:val="19"/>
          <w:szCs w:val="19"/>
        </w:rPr>
        <w:t xml:space="preserve">productiv-ia.fr/blog/artisan-batiment/dgd/#memoire</w:t>
      </w:r>
    </w:p>
    <w:p>
      <w:pPr>
        <w:spacing w:after="280"/>
      </w:pPr>
    </w:p>
    <w:p>
      <w:pPr>
        <w:spacing w:after="240" w:before="0" w:line="276"/>
      </w:pPr>
      <w:r>
        <w:rPr>
          <w:rFonts w:ascii="Arial" w:cs="Arial" w:eastAsia="Arial" w:hAnsi="Arial"/>
          <w:b/>
          <w:bCs/>
          <w:sz w:val="21"/>
          <w:szCs w:val="21"/>
        </w:rPr>
        <w:t xml:space="preserve">Partie 1 · Lettre de renvoi du décompte général</w:t>
      </w:r>
    </w:p>
    <w:p>
      <w:pPr>
        <w:spacing w:after="0" w:before="0" w:line="276"/>
      </w:pPr>
      <w:r>
        <w:rPr>
          <w:rFonts w:ascii="Arial" w:cs="Arial" w:eastAsia="Arial" w:hAnsi="Arial"/>
          <w:b/>
          <w:bCs/>
          <w:sz w:val="21"/>
          <w:szCs w:val="21"/>
          <w:shd w:fill="FFF1B8" w:color="auto" w:val="clear"/>
        </w:rPr>
        <w:t xml:space="preserve">[Raison sociale de l’entreprise]</w:t>
      </w:r>
    </w:p>
    <w:p>
      <w:pPr>
        <w:spacing w:after="0" w:before="0" w:line="276"/>
      </w:pPr>
      <w:r>
        <w:rPr>
          <w:rFonts w:ascii="Arial" w:cs="Arial" w:eastAsia="Arial" w:hAnsi="Arial"/>
          <w:b w:val="false"/>
          <w:bCs w:val="false"/>
          <w:sz w:val="21"/>
          <w:szCs w:val="21"/>
          <w:shd w:fill="FFF1B8" w:color="auto" w:val="clear"/>
        </w:rPr>
        <w:t xml:space="preserve">[Adresse]</w:t>
      </w:r>
    </w:p>
    <w:p>
      <w:pPr>
        <w:spacing w:after="0" w:before="0" w:line="276"/>
      </w:pPr>
      <w:r>
        <w:rPr>
          <w:rFonts w:ascii="Arial" w:cs="Arial" w:eastAsia="Arial" w:hAnsi="Arial"/>
          <w:b w:val="false"/>
          <w:bCs w:val="false"/>
          <w:sz w:val="21"/>
          <w:szCs w:val="21"/>
          <w:shd w:fill="FFF1B8" w:color="auto" w:val="clear"/>
        </w:rPr>
        <w:t xml:space="preserve">[Code postal, ville]</w:t>
      </w:r>
    </w:p>
    <w:p>
      <w:pPr>
        <w:spacing w:after="0" w:before="0" w:line="276"/>
      </w:pPr>
      <w:r>
        <w:rPr>
          <w:rFonts w:ascii="Arial" w:cs="Arial" w:eastAsia="Arial" w:hAnsi="Arial"/>
          <w:b w:val="false"/>
          <w:bCs w:val="false"/>
          <w:sz w:val="21"/>
          <w:szCs w:val="21"/>
        </w:rPr>
        <w:t xml:space="preserve">SIRET : </w:t>
      </w:r>
      <w:r>
        <w:rPr>
          <w:rFonts w:ascii="Arial" w:cs="Arial" w:eastAsia="Arial" w:hAnsi="Arial"/>
          <w:b w:val="false"/>
          <w:bCs w:val="false"/>
          <w:sz w:val="21"/>
          <w:szCs w:val="21"/>
          <w:shd w:fill="FFF1B8" w:color="auto" w:val="clear"/>
        </w:rPr>
        <w:t xml:space="preserve">[numéro]</w:t>
      </w:r>
    </w:p>
    <w:p>
      <w:pPr>
        <w:spacing w:after="240" w:before="0" w:line="276"/>
      </w:pPr>
      <w:r>
        <w:rPr>
          <w:rFonts w:ascii="Arial" w:cs="Arial" w:eastAsia="Arial" w:hAnsi="Arial"/>
          <w:b w:val="false"/>
          <w:bCs w:val="false"/>
          <w:sz w:val="21"/>
          <w:szCs w:val="21"/>
          <w:shd w:fill="FFF1B8" w:color="auto" w:val="clear"/>
        </w:rPr>
        <w:t xml:space="preserve">[Téléphone, email]</w:t>
      </w:r>
    </w:p>
    <w:p>
      <w:pPr>
        <w:spacing w:after="0" w:before="0" w:line="276"/>
        <w:ind w:left="4820"/>
      </w:pPr>
      <w:r>
        <w:rPr>
          <w:rFonts w:ascii="Arial" w:cs="Arial" w:eastAsia="Arial" w:hAnsi="Arial"/>
          <w:b/>
          <w:bCs/>
          <w:sz w:val="21"/>
          <w:szCs w:val="21"/>
        </w:rPr>
        <w:t xml:space="preserve">Maître d’ouvrage</w:t>
      </w:r>
    </w:p>
    <w:p>
      <w:pPr>
        <w:spacing w:after="0" w:before="0" w:line="276"/>
        <w:ind w:left="4820"/>
      </w:pPr>
      <w:r>
        <w:rPr>
          <w:rFonts w:ascii="Arial" w:cs="Arial" w:eastAsia="Arial" w:hAnsi="Arial"/>
          <w:b w:val="false"/>
          <w:bCs w:val="false"/>
          <w:sz w:val="21"/>
          <w:szCs w:val="21"/>
          <w:shd w:fill="FFF1B8" w:color="auto" w:val="clear"/>
        </w:rPr>
        <w:t xml:space="preserve">[Nom de l’acheteur, service]</w:t>
      </w:r>
    </w:p>
    <w:p>
      <w:pPr>
        <w:spacing w:after="0" w:before="0" w:line="276"/>
        <w:ind w:left="4820"/>
      </w:pPr>
      <w:r>
        <w:rPr>
          <w:rFonts w:ascii="Arial" w:cs="Arial" w:eastAsia="Arial" w:hAnsi="Arial"/>
          <w:b w:val="false"/>
          <w:bCs w:val="false"/>
          <w:sz w:val="21"/>
          <w:szCs w:val="21"/>
          <w:shd w:fill="FFF1B8" w:color="auto" w:val="clear"/>
        </w:rPr>
        <w:t xml:space="preserve">[Adresse]</w:t>
      </w:r>
    </w:p>
    <w:p>
      <w:pPr>
        <w:spacing w:after="0" w:before="140" w:line="276"/>
        <w:ind w:left="4820"/>
      </w:pPr>
      <w:r>
        <w:rPr>
          <w:rFonts w:ascii="Arial" w:cs="Arial" w:eastAsia="Arial" w:hAnsi="Arial"/>
          <w:b w:val="false"/>
          <w:bCs w:val="false"/>
          <w:sz w:val="21"/>
          <w:szCs w:val="21"/>
        </w:rPr>
        <w:t xml:space="preserve">Copie : maître d’œuvre, </w:t>
      </w:r>
      <w:r>
        <w:rPr>
          <w:rFonts w:ascii="Arial" w:cs="Arial" w:eastAsia="Arial" w:hAnsi="Arial"/>
          <w:b w:val="false"/>
          <w:bCs w:val="false"/>
          <w:sz w:val="21"/>
          <w:szCs w:val="21"/>
          <w:shd w:fill="FFF1B8" w:color="auto" w:val="clear"/>
        </w:rPr>
        <w:t xml:space="preserve">[nom, adresse]</w:t>
      </w:r>
    </w:p>
    <w:p>
      <w:pPr>
        <w:spacing w:after="200" w:before="0" w:line="276"/>
      </w:pPr>
    </w:p>
    <w:p>
      <w:pPr>
        <w:spacing w:after="60" w:before="0" w:line="276"/>
      </w:pPr>
      <w:r>
        <w:rPr>
          <w:rFonts w:ascii="Arial" w:cs="Arial" w:eastAsia="Arial" w:hAnsi="Arial"/>
          <w:b w:val="false"/>
          <w:bCs w:val="false"/>
          <w:sz w:val="21"/>
          <w:szCs w:val="21"/>
        </w:rPr>
        <w:t xml:space="preserve">Envoi : </w:t>
      </w:r>
      <w:r>
        <w:rPr>
          <w:rFonts w:ascii="Arial" w:cs="Arial" w:eastAsia="Arial" w:hAnsi="Arial"/>
          <w:b w:val="false"/>
          <w:bCs w:val="false"/>
          <w:sz w:val="21"/>
          <w:szCs w:val="21"/>
          <w:shd w:fill="FFF1B8" w:color="auto" w:val="clear"/>
        </w:rPr>
        <w:t xml:space="preserve">[lettre recommandée avec avis de réception / remise contre récépissé / profil d’acheteur / adresse électronique prévue au marché]</w:t>
      </w:r>
    </w:p>
    <w:p>
      <w:pPr>
        <w:spacing w:after="240" w:before="0" w:line="276"/>
      </w:pPr>
      <w:r>
        <w:rPr>
          <w:rFonts w:ascii="Arial" w:cs="Arial" w:eastAsia="Arial" w:hAnsi="Arial"/>
          <w:b w:val="false"/>
          <w:bCs w:val="false"/>
          <w:sz w:val="21"/>
          <w:szCs w:val="21"/>
          <w:shd w:fill="FFF1B8" w:color="auto" w:val="clear"/>
        </w:rPr>
        <w:t xml:space="preserve">[Lieu]</w:t>
      </w:r>
      <w:r>
        <w:rPr>
          <w:rFonts w:ascii="Arial" w:cs="Arial" w:eastAsia="Arial" w:hAnsi="Arial"/>
          <w:b w:val="false"/>
          <w:bCs w:val="false"/>
          <w:sz w:val="21"/>
          <w:szCs w:val="21"/>
        </w:rPr>
        <w:t xml:space="preserve">, le </w:t>
      </w:r>
      <w:r>
        <w:rPr>
          <w:rFonts w:ascii="Arial" w:cs="Arial" w:eastAsia="Arial" w:hAnsi="Arial"/>
          <w:b w:val="false"/>
          <w:bCs w:val="false"/>
          <w:sz w:val="21"/>
          <w:szCs w:val="21"/>
          <w:shd w:fill="FFF1B8" w:color="auto" w:val="clear"/>
        </w:rPr>
        <w:t xml:space="preserve">[date]</w:t>
      </w:r>
    </w:p>
    <w:p>
      <w:pPr>
        <w:spacing w:after="60" w:before="0" w:line="276"/>
      </w:pPr>
      <w:r>
        <w:rPr>
          <w:rFonts w:ascii="Arial" w:cs="Arial" w:eastAsia="Arial" w:hAnsi="Arial"/>
          <w:b/>
          <w:bCs/>
          <w:sz w:val="21"/>
          <w:szCs w:val="21"/>
        </w:rPr>
        <w:t xml:space="preserve">Objet : décompte général du marché </w:t>
      </w:r>
      <w:r>
        <w:rPr>
          <w:rFonts w:ascii="Arial" w:cs="Arial" w:eastAsia="Arial" w:hAnsi="Arial"/>
          <w:b/>
          <w:bCs/>
          <w:sz w:val="21"/>
          <w:szCs w:val="21"/>
          <w:shd w:fill="FFF1B8" w:color="auto" w:val="clear"/>
        </w:rPr>
        <w:t xml:space="preserve">[numéro]</w:t>
      </w:r>
      <w:r>
        <w:rPr>
          <w:rFonts w:ascii="Arial" w:cs="Arial" w:eastAsia="Arial" w:hAnsi="Arial"/>
          <w:b/>
          <w:bCs/>
          <w:sz w:val="21"/>
          <w:szCs w:val="21"/>
        </w:rPr>
        <w:t xml:space="preserve"> : renvoi signé avec réserves (article 12.4.3 du CCAG Travaux 2021) et mémoire en réclamation (article 55.1.1)</w:t>
      </w:r>
    </w:p>
    <w:p>
      <w:pPr>
        <w:spacing w:after="20" w:before="0" w:line="276"/>
      </w:pPr>
      <w:r>
        <w:rPr>
          <w:rFonts w:ascii="Arial" w:cs="Arial" w:eastAsia="Arial" w:hAnsi="Arial"/>
          <w:b w:val="false"/>
          <w:bCs w:val="false"/>
          <w:sz w:val="21"/>
          <w:szCs w:val="21"/>
        </w:rPr>
        <w:t xml:space="preserve">Marché : </w:t>
      </w:r>
      <w:r>
        <w:rPr>
          <w:rFonts w:ascii="Arial" w:cs="Arial" w:eastAsia="Arial" w:hAnsi="Arial"/>
          <w:b w:val="false"/>
          <w:bCs w:val="false"/>
          <w:sz w:val="21"/>
          <w:szCs w:val="21"/>
          <w:shd w:fill="FFF1B8" w:color="auto" w:val="clear"/>
        </w:rPr>
        <w:t xml:space="preserve">[intitulé et numéro du marché]</w:t>
      </w:r>
      <w:r>
        <w:rPr>
          <w:rFonts w:ascii="Arial" w:cs="Arial" w:eastAsia="Arial" w:hAnsi="Arial"/>
          <w:b w:val="false"/>
          <w:bCs w:val="false"/>
          <w:sz w:val="21"/>
          <w:szCs w:val="21"/>
        </w:rPr>
        <w:t xml:space="preserve">, lot </w:t>
      </w:r>
      <w:r>
        <w:rPr>
          <w:rFonts w:ascii="Arial" w:cs="Arial" w:eastAsia="Arial" w:hAnsi="Arial"/>
          <w:b w:val="false"/>
          <w:bCs w:val="false"/>
          <w:sz w:val="21"/>
          <w:szCs w:val="21"/>
          <w:shd w:fill="FFF1B8" w:color="auto" w:val="clear"/>
        </w:rPr>
        <w:t xml:space="preserve">[numéro et intitulé du lot]</w:t>
      </w:r>
      <w:r>
        <w:rPr>
          <w:rFonts w:ascii="Arial" w:cs="Arial" w:eastAsia="Arial" w:hAnsi="Arial"/>
          <w:b w:val="false"/>
          <w:bCs w:val="false"/>
          <w:sz w:val="21"/>
          <w:szCs w:val="21"/>
        </w:rPr>
        <w:t xml:space="preserve">, notifié le </w:t>
      </w:r>
      <w:r>
        <w:rPr>
          <w:rFonts w:ascii="Arial" w:cs="Arial" w:eastAsia="Arial" w:hAnsi="Arial"/>
          <w:b w:val="false"/>
          <w:bCs w:val="false"/>
          <w:sz w:val="21"/>
          <w:szCs w:val="21"/>
          <w:shd w:fill="FFF1B8" w:color="auto" w:val="clear"/>
        </w:rPr>
        <w:t xml:space="preserve">[date]</w:t>
      </w:r>
    </w:p>
    <w:p>
      <w:pPr>
        <w:spacing w:after="260" w:before="0" w:line="276"/>
      </w:pPr>
      <w:r>
        <w:rPr>
          <w:rFonts w:ascii="Arial" w:cs="Arial" w:eastAsia="Arial" w:hAnsi="Arial"/>
          <w:b w:val="false"/>
          <w:bCs w:val="false"/>
          <w:sz w:val="21"/>
          <w:szCs w:val="21"/>
        </w:rPr>
        <w:t xml:space="preserve">Décompte général daté du </w:t>
      </w:r>
      <w:r>
        <w:rPr>
          <w:rFonts w:ascii="Arial" w:cs="Arial" w:eastAsia="Arial" w:hAnsi="Arial"/>
          <w:b w:val="false"/>
          <w:bCs w:val="false"/>
          <w:sz w:val="21"/>
          <w:szCs w:val="21"/>
          <w:shd w:fill="FFF1B8" w:color="auto" w:val="clear"/>
        </w:rPr>
        <w:t xml:space="preserve">[date]</w:t>
      </w:r>
      <w:r>
        <w:rPr>
          <w:rFonts w:ascii="Arial" w:cs="Arial" w:eastAsia="Arial" w:hAnsi="Arial"/>
          <w:b w:val="false"/>
          <w:bCs w:val="false"/>
          <w:sz w:val="21"/>
          <w:szCs w:val="21"/>
        </w:rPr>
        <w:t xml:space="preserve">, notifié le </w:t>
      </w:r>
      <w:r>
        <w:rPr>
          <w:rFonts w:ascii="Arial" w:cs="Arial" w:eastAsia="Arial" w:hAnsi="Arial"/>
          <w:b w:val="false"/>
          <w:bCs w:val="false"/>
          <w:sz w:val="21"/>
          <w:szCs w:val="21"/>
          <w:shd w:fill="FFF1B8" w:color="auto" w:val="clear"/>
        </w:rPr>
        <w:t xml:space="preserve">[date de notification]</w:t>
      </w:r>
    </w:p>
    <w:p>
      <w:pPr>
        <w:keepNext/>
        <w:spacing w:after="140" w:before="0" w:line="276"/>
      </w:pPr>
      <w:r>
        <w:rPr>
          <w:rFonts w:ascii="Arial" w:cs="Arial" w:eastAsia="Arial" w:hAnsi="Arial"/>
          <w:b w:val="false"/>
          <w:bCs w:val="false"/>
          <w:sz w:val="21"/>
          <w:szCs w:val="21"/>
        </w:rPr>
        <w:t xml:space="preserve">Madame, Monsieur,</w:t>
      </w:r>
    </w:p>
    <w:p>
      <w:pPr>
        <w:spacing w:after="140" w:before="0" w:line="276"/>
      </w:pPr>
      <w:r>
        <w:rPr>
          <w:rFonts w:ascii="Arial" w:cs="Arial" w:eastAsia="Arial" w:hAnsi="Arial"/>
          <w:b w:val="false"/>
          <w:bCs w:val="false"/>
          <w:sz w:val="21"/>
          <w:szCs w:val="21"/>
        </w:rPr>
        <w:t xml:space="preserve">Le décompte général du marché cité en référence nous a été notifié le </w:t>
      </w:r>
      <w:r>
        <w:rPr>
          <w:rFonts w:ascii="Arial" w:cs="Arial" w:eastAsia="Arial" w:hAnsi="Arial"/>
          <w:b w:val="false"/>
          <w:bCs w:val="false"/>
          <w:sz w:val="21"/>
          <w:szCs w:val="21"/>
          <w:shd w:fill="FFF1B8" w:color="auto" w:val="clear"/>
        </w:rPr>
        <w:t xml:space="preserve">[date de notification]</w:t>
      </w:r>
      <w:r>
        <w:rPr>
          <w:rFonts w:ascii="Arial" w:cs="Arial" w:eastAsia="Arial" w:hAnsi="Arial"/>
          <w:b w:val="false"/>
          <w:bCs w:val="false"/>
          <w:sz w:val="21"/>
          <w:szCs w:val="21"/>
        </w:rPr>
        <w:t xml:space="preserve">.</w:t>
      </w:r>
    </w:p>
    <w:p>
      <w:pPr>
        <w:keepNext/>
        <w:spacing w:after="140" w:before="0" w:line="276"/>
      </w:pPr>
      <w:r>
        <w:rPr>
          <w:rFonts w:ascii="Arial" w:cs="Arial" w:eastAsia="Arial" w:hAnsi="Arial"/>
          <w:b w:val="false"/>
          <w:bCs w:val="false"/>
          <w:sz w:val="21"/>
          <w:szCs w:val="21"/>
          <w:shd w:fill="FFF1B8" w:color="auto" w:val="clear"/>
        </w:rPr>
        <w:t xml:space="preserve">[OPTION A, signature avec réserves : Conformément à l’article 12.4.3 du CCAG Travaux 2021, nous vous le renvoyons revêtu de notre signature, avec les réserves suivantes, motivées et chiffrées dans le mémoire en réclamation joint :]</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5000"/>
        <w:gridCol w:w="1900"/>
        <w:gridCol w:w="1638"/>
      </w:tblGrid>
      <w:tr>
        <w:trPr>
          <w:tblHeader/>
        </w:trPr>
        <w:tc>
          <w:tcPr>
            <w:tcW w:type="dxa" w:w="11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Chef n°</w:t>
            </w:r>
          </w:p>
        </w:tc>
        <w:tc>
          <w:tcPr>
            <w:tcW w:type="dxa" w:w="50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Objet de la réserve</w:t>
            </w:r>
          </w:p>
        </w:tc>
        <w:tc>
          <w:tcPr>
            <w:tcW w:type="dxa" w:w="19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Montant réclamé (€ HT)</w:t>
            </w:r>
          </w:p>
        </w:tc>
        <w:tc>
          <w:tcPr>
            <w:tcW w:type="dxa" w:w="1638"/>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Mémoire, section</w:t>
            </w:r>
          </w:p>
        </w:tc>
      </w:tr>
      <w:tr>
        <w:tc>
          <w:tcPr>
            <w:tcW w:type="dxa" w:w="11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rPr>
              <w:t xml:space="preserve">1</w:t>
            </w:r>
          </w:p>
        </w:tc>
        <w:tc>
          <w:tcPr>
            <w:tcW w:type="dxa" w:w="50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[objet]</w:t>
            </w:r>
          </w:p>
        </w:tc>
        <w:tc>
          <w:tcPr>
            <w:tcW w:type="dxa" w:w="19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p>
        </w:tc>
        <w:tc>
          <w:tcPr>
            <w:tcW w:type="dxa" w:w="16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[4.1]</w:t>
            </w:r>
          </w:p>
        </w:tc>
      </w:tr>
      <w:tr>
        <w:tc>
          <w:tcPr>
            <w:tcW w:type="dxa" w:w="11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rPr>
              <w:t xml:space="preserve">2</w:t>
            </w:r>
          </w:p>
        </w:tc>
        <w:tc>
          <w:tcPr>
            <w:tcW w:type="dxa" w:w="50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[objet]</w:t>
            </w:r>
          </w:p>
        </w:tc>
        <w:tc>
          <w:tcPr>
            <w:tcW w:type="dxa" w:w="19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p>
        </w:tc>
        <w:tc>
          <w:tcPr>
            <w:tcW w:type="dxa" w:w="16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[4.2]</w:t>
            </w:r>
          </w:p>
        </w:tc>
      </w:tr>
      <w:tr>
        <w:tc>
          <w:tcPr>
            <w:tcW w:type="dxa" w:w="11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p>
        </w:tc>
        <w:tc>
          <w:tcPr>
            <w:tcW w:type="dxa" w:w="50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Total réclamé</w:t>
            </w:r>
          </w:p>
        </w:tc>
        <w:tc>
          <w:tcPr>
            <w:tcW w:type="dxa" w:w="19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p>
        </w:tc>
        <w:tc>
          <w:tcPr>
            <w:tcW w:type="dxa" w:w="16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p>
        </w:tc>
      </w:tr>
    </w:tbl>
    <w:p>
      <w:pPr>
        <w:spacing w:after="140" w:before="200" w:line="276"/>
      </w:pPr>
      <w:r>
        <w:rPr>
          <w:rFonts w:ascii="Arial" w:cs="Arial" w:eastAsia="Arial" w:hAnsi="Arial"/>
          <w:b w:val="false"/>
          <w:bCs w:val="false"/>
          <w:sz w:val="21"/>
          <w:szCs w:val="21"/>
          <w:shd w:fill="FFF1B8" w:color="auto" w:val="clear"/>
        </w:rPr>
        <w:t xml:space="preserve">[OPTION B, refus de signer : Conformément à l’article 12.4.3 du CCAG Travaux 2021, nous refusons de le signer, pour les motifs exposés en détail dans le mémoire en réclamation joint et résumés ainsi : [motifs].]</w:t>
      </w:r>
    </w:p>
    <w:p>
      <w:pPr>
        <w:spacing w:after="140" w:before="0" w:line="276"/>
      </w:pPr>
      <w:r>
        <w:rPr>
          <w:rFonts w:ascii="Arial" w:cs="Arial" w:eastAsia="Arial" w:hAnsi="Arial"/>
          <w:b w:val="false"/>
          <w:bCs w:val="false"/>
          <w:sz w:val="21"/>
          <w:szCs w:val="21"/>
          <w:shd w:fill="FFF1B8" w:color="auto" w:val="clear"/>
        </w:rPr>
        <w:t xml:space="preserve">[Si le décompte porte des mentions de réserves ou de litiges (article 12.4.2) : Le décompte général porte les mentions suivantes : [reprendre chaque mention]. Notre réponse à chacune figure à la section 6 du mémoire.]</w:t>
      </w:r>
    </w:p>
    <w:p>
      <w:pPr>
        <w:spacing w:after="140" w:before="0" w:line="276"/>
      </w:pPr>
      <w:r>
        <w:rPr>
          <w:rFonts w:ascii="Arial" w:cs="Arial" w:eastAsia="Arial" w:hAnsi="Arial"/>
          <w:b w:val="false"/>
          <w:bCs w:val="false"/>
          <w:sz w:val="21"/>
          <w:szCs w:val="21"/>
        </w:rPr>
        <w:t xml:space="preserve">L’article 12.4.3 prévoit qu’en cas de contestation, le maître d’ouvrage règle dans un délai de trente jours les sommes admises dans le décompte final : nous vous remercions d’y procéder.</w:t>
      </w:r>
    </w:p>
    <w:p>
      <w:pPr>
        <w:keepNext/>
        <w:spacing w:after="360" w:before="120" w:line="276"/>
      </w:pPr>
      <w:r>
        <w:rPr>
          <w:rFonts w:ascii="Arial" w:cs="Arial" w:eastAsia="Arial" w:hAnsi="Arial"/>
          <w:b w:val="false"/>
          <w:bCs w:val="false"/>
          <w:sz w:val="21"/>
          <w:szCs w:val="21"/>
        </w:rPr>
        <w:t xml:space="preserve">Nous vous prions d’agréer, Madame, Monsieur, l’expression de nos salutations distinguées.</w:t>
      </w:r>
    </w:p>
    <w:p>
      <w:pPr>
        <w:keepNext/>
        <w:spacing w:after="0" w:before="0" w:line="276"/>
        <w:ind w:left="4820"/>
      </w:pPr>
      <w:r>
        <w:rPr>
          <w:rFonts w:ascii="Arial" w:cs="Arial" w:eastAsia="Arial" w:hAnsi="Arial"/>
          <w:b w:val="false"/>
          <w:bCs w:val="false"/>
          <w:sz w:val="21"/>
          <w:szCs w:val="21"/>
          <w:shd w:fill="FFF1B8" w:color="auto" w:val="clear"/>
        </w:rPr>
        <w:t xml:space="preserve">[Nom et prénom du signataire]</w:t>
      </w:r>
    </w:p>
    <w:p>
      <w:pPr>
        <w:keepNext/>
        <w:spacing w:after="0" w:before="0" w:line="276"/>
        <w:ind w:left="4820"/>
      </w:pPr>
      <w:r>
        <w:rPr>
          <w:rFonts w:ascii="Arial" w:cs="Arial" w:eastAsia="Arial" w:hAnsi="Arial"/>
          <w:b w:val="false"/>
          <w:bCs w:val="false"/>
          <w:sz w:val="21"/>
          <w:szCs w:val="21"/>
          <w:shd w:fill="FFF1B8" w:color="auto" w:val="clear"/>
        </w:rPr>
        <w:t xml:space="preserve">[Qualité : gérant, président, directeur de travaux]</w:t>
      </w:r>
    </w:p>
    <w:p>
      <w:pPr>
        <w:spacing w:after="300" w:before="0" w:line="276"/>
        <w:ind w:left="4820"/>
      </w:pPr>
      <w:r>
        <w:rPr>
          <w:rFonts w:ascii="Arial" w:cs="Arial" w:eastAsia="Arial" w:hAnsi="Arial"/>
          <w:b w:val="false"/>
          <w:bCs w:val="false"/>
          <w:sz w:val="21"/>
          <w:szCs w:val="21"/>
          <w:shd w:fill="FFF1B8" w:color="auto" w:val="clear"/>
        </w:rPr>
        <w:t xml:space="preserve">[Signature]</w:t>
      </w:r>
    </w:p>
    <w:p>
      <w:pPr>
        <w:keepNext/>
        <w:spacing w:after="60" w:before="0" w:line="276"/>
      </w:pPr>
      <w:r>
        <w:rPr>
          <w:rFonts w:ascii="Arial" w:cs="Arial" w:eastAsia="Arial" w:hAnsi="Arial"/>
          <w:b/>
          <w:bCs/>
          <w:sz w:val="21"/>
          <w:szCs w:val="21"/>
        </w:rPr>
        <w:t xml:space="preserve">Pièces jointes</w:t>
      </w:r>
    </w:p>
    <w:p>
      <w:pPr>
        <w:pStyle w:val="ListParagraph"/>
        <w:numPr>
          <w:ilvl w:val="0"/>
          <w:numId w:val="2"/>
        </w:numPr>
        <w:spacing w:after="80" w:line="276"/>
      </w:pPr>
      <w:r>
        <w:rPr>
          <w:rFonts w:ascii="Arial" w:cs="Arial" w:eastAsia="Arial" w:hAnsi="Arial"/>
          <w:b w:val="false"/>
          <w:bCs w:val="false"/>
          <w:sz w:val="21"/>
          <w:szCs w:val="21"/>
        </w:rPr>
        <w:t xml:space="preserve">Décompte général </w:t>
      </w:r>
      <w:r>
        <w:rPr>
          <w:rFonts w:ascii="Arial" w:cs="Arial" w:eastAsia="Arial" w:hAnsi="Arial"/>
          <w:b w:val="false"/>
          <w:bCs w:val="false"/>
          <w:sz w:val="21"/>
          <w:szCs w:val="21"/>
          <w:shd w:fill="FFF1B8" w:color="auto" w:val="clear"/>
        </w:rPr>
        <w:t xml:space="preserve">[revêtu de notre signature, avec réserves]</w:t>
      </w:r>
    </w:p>
    <w:p>
      <w:pPr>
        <w:pStyle w:val="ListParagraph"/>
        <w:numPr>
          <w:ilvl w:val="0"/>
          <w:numId w:val="2"/>
        </w:numPr>
        <w:spacing w:after="80" w:line="276"/>
      </w:pPr>
      <w:r>
        <w:rPr>
          <w:rFonts w:ascii="Arial" w:cs="Arial" w:eastAsia="Arial" w:hAnsi="Arial"/>
          <w:b w:val="false"/>
          <w:bCs w:val="false"/>
          <w:sz w:val="21"/>
          <w:szCs w:val="21"/>
        </w:rPr>
        <w:t xml:space="preserve">Mémoire en réclamation et ses pièces</w:t>
      </w:r>
    </w:p>
    <w:p>
      <w:pPr>
        <w:sectPr>
          <w:pgSz w:w="11906" w:h="16838" w:orient="portrait"/>
          <w:pgMar w:top="1134" w:right="1134" w:bottom="1134" w:left="1134" w:header="708" w:footer="708" w:gutter="0"/>
          <w:pgNumType/>
          <w:docGrid w:linePitch="360"/>
        </w:sectPr>
      </w:pPr>
    </w:p>
    <w:p>
      <w:pPr>
        <w:spacing w:after="60" w:before="0" w:line="276"/>
        <w:jc w:val="center"/>
      </w:pPr>
      <w:r>
        <w:rPr>
          <w:rFonts w:ascii="Arial" w:cs="Arial" w:eastAsia="Arial" w:hAnsi="Arial"/>
          <w:b/>
          <w:bCs/>
          <w:sz w:val="28"/>
          <w:szCs w:val="28"/>
        </w:rPr>
        <w:t xml:space="preserve">MÉMOIRE EN RÉCLAMATION</w:t>
      </w:r>
    </w:p>
    <w:p>
      <w:pPr>
        <w:spacing w:after="60" w:before="0" w:line="276"/>
        <w:jc w:val="center"/>
      </w:pPr>
      <w:r>
        <w:rPr>
          <w:rFonts w:ascii="Arial" w:cs="Arial" w:eastAsia="Arial" w:hAnsi="Arial"/>
          <w:b w:val="false"/>
          <w:bCs w:val="false"/>
          <w:sz w:val="21"/>
          <w:szCs w:val="21"/>
        </w:rPr>
        <w:t xml:space="preserve">sur le décompte général du marché </w:t>
      </w:r>
      <w:r>
        <w:rPr>
          <w:rFonts w:ascii="Arial" w:cs="Arial" w:eastAsia="Arial" w:hAnsi="Arial"/>
          <w:b w:val="false"/>
          <w:bCs w:val="false"/>
          <w:sz w:val="21"/>
          <w:szCs w:val="21"/>
          <w:shd w:fill="FFF1B8" w:color="auto" w:val="clear"/>
        </w:rPr>
        <w:t xml:space="preserve">[intitulé et numéro]</w:t>
      </w:r>
      <w:r>
        <w:rPr>
          <w:rFonts w:ascii="Arial" w:cs="Arial" w:eastAsia="Arial" w:hAnsi="Arial"/>
          <w:b w:val="false"/>
          <w:bCs w:val="false"/>
          <w:sz w:val="21"/>
          <w:szCs w:val="21"/>
        </w:rPr>
        <w:t xml:space="preserve"> (article 55.1.1 du CCAG Travaux 2021)</w:t>
      </w:r>
    </w:p>
    <w:p>
      <w:pPr>
        <w:spacing w:after="60" w:before="0" w:line="276"/>
        <w:jc w:val="center"/>
      </w:pPr>
      <w:r>
        <w:rPr>
          <w:rFonts w:ascii="Arial" w:cs="Arial" w:eastAsia="Arial" w:hAnsi="Arial"/>
          <w:b w:val="false"/>
          <w:bCs w:val="false"/>
          <w:sz w:val="21"/>
          <w:szCs w:val="21"/>
        </w:rPr>
        <w:t xml:space="preserve">Présenté par </w:t>
      </w:r>
      <w:r>
        <w:rPr>
          <w:rFonts w:ascii="Arial" w:cs="Arial" w:eastAsia="Arial" w:hAnsi="Arial"/>
          <w:b w:val="false"/>
          <w:bCs w:val="false"/>
          <w:sz w:val="21"/>
          <w:szCs w:val="21"/>
          <w:shd w:fill="FFF1B8" w:color="auto" w:val="clear"/>
        </w:rPr>
        <w:t xml:space="preserve">[raison sociale]</w:t>
      </w:r>
      <w:r>
        <w:rPr>
          <w:rFonts w:ascii="Arial" w:cs="Arial" w:eastAsia="Arial" w:hAnsi="Arial"/>
          <w:b w:val="false"/>
          <w:bCs w:val="false"/>
          <w:sz w:val="21"/>
          <w:szCs w:val="21"/>
        </w:rPr>
        <w:t xml:space="preserve">, titulaire </w:t>
      </w:r>
      <w:r>
        <w:rPr>
          <w:rFonts w:ascii="Arial" w:cs="Arial" w:eastAsia="Arial" w:hAnsi="Arial"/>
          <w:b w:val="false"/>
          <w:bCs w:val="false"/>
          <w:sz w:val="21"/>
          <w:szCs w:val="21"/>
          <w:shd w:fill="FFF1B8" w:color="auto" w:val="clear"/>
        </w:rPr>
        <w:t xml:space="preserve">[du lot n° [numéro]]</w:t>
      </w:r>
      <w:r>
        <w:rPr>
          <w:rFonts w:ascii="Arial" w:cs="Arial" w:eastAsia="Arial" w:hAnsi="Arial"/>
          <w:b w:val="false"/>
          <w:bCs w:val="false"/>
          <w:sz w:val="21"/>
          <w:szCs w:val="21"/>
        </w:rPr>
        <w:t xml:space="preserve">, le </w:t>
      </w:r>
      <w:r>
        <w:rPr>
          <w:rFonts w:ascii="Arial" w:cs="Arial" w:eastAsia="Arial" w:hAnsi="Arial"/>
          <w:b w:val="false"/>
          <w:bCs w:val="false"/>
          <w:sz w:val="21"/>
          <w:szCs w:val="21"/>
          <w:shd w:fill="FFF1B8" w:color="auto" w:val="clear"/>
        </w:rPr>
        <w:t xml:space="preserve">[date]</w:t>
      </w:r>
    </w:p>
    <w:p>
      <w:pPr>
        <w:spacing w:after="300" w:before="0" w:line="276"/>
        <w:jc w:val="center"/>
      </w:pPr>
      <w:r>
        <w:rPr>
          <w:rFonts w:ascii="Arial" w:cs="Arial" w:eastAsia="Arial" w:hAnsi="Arial"/>
          <w:b w:val="false"/>
          <w:bCs w:val="false"/>
          <w:sz w:val="21"/>
          <w:szCs w:val="21"/>
        </w:rPr>
        <w:t xml:space="preserve">Notifié au maître d’ouvrage, </w:t>
      </w:r>
      <w:r>
        <w:rPr>
          <w:rFonts w:ascii="Arial" w:cs="Arial" w:eastAsia="Arial" w:hAnsi="Arial"/>
          <w:b w:val="false"/>
          <w:bCs w:val="false"/>
          <w:sz w:val="21"/>
          <w:szCs w:val="21"/>
          <w:shd w:fill="FFF1B8" w:color="auto" w:val="clear"/>
        </w:rPr>
        <w:t xml:space="preserve">[nom]</w:t>
      </w:r>
      <w:r>
        <w:rPr>
          <w:rFonts w:ascii="Arial" w:cs="Arial" w:eastAsia="Arial" w:hAnsi="Arial"/>
          <w:b w:val="false"/>
          <w:bCs w:val="false"/>
          <w:sz w:val="21"/>
          <w:szCs w:val="21"/>
        </w:rPr>
        <w:t xml:space="preserve">, copie au maître d’œuvre, </w:t>
      </w:r>
      <w:r>
        <w:rPr>
          <w:rFonts w:ascii="Arial" w:cs="Arial" w:eastAsia="Arial" w:hAnsi="Arial"/>
          <w:b w:val="false"/>
          <w:bCs w:val="false"/>
          <w:sz w:val="21"/>
          <w:szCs w:val="21"/>
          <w:shd w:fill="FFF1B8" w:color="auto" w:val="clear"/>
        </w:rPr>
        <w:t xml:space="preserve">[nom]</w:t>
      </w:r>
    </w:p>
    <w:p>
      <w:pPr>
        <w:keepNext/>
        <w:spacing w:after="120" w:before="240"/>
      </w:pPr>
      <w:r>
        <w:rPr>
          <w:rFonts w:ascii="Arial" w:cs="Arial" w:eastAsia="Arial" w:hAnsi="Arial"/>
          <w:b/>
          <w:bCs/>
          <w:sz w:val="24"/>
          <w:szCs w:val="24"/>
        </w:rPr>
        <w:t xml:space="preserve">1. Le marché et ses dates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238"/>
      </w:tblGrid>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Marché</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[intitulé, numéro]</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Lot</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[numéro et intitulé]</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Maître d’ouvrage</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[nom]</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Maître d’œuvre</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[nom]</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Notification du marché</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[date]</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Version du CCAG Travaux visée par le CCAP</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[CCAG Travaux 2021, arrêté du 30 mars 2021 / autre : préciser]</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Articles du CCAG auxquels le CCAP déroge</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[liste, ou « aucun »]</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Décision de réception</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[date de la décision, date d’effet de la réception]</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Projet de décompte final notifié le</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[date]</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Décompte général notifié le</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[date]</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Fin du délai de trente jours</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[date]</w:t>
            </w:r>
          </w:p>
        </w:tc>
      </w:tr>
    </w:tbl>
    <w:p>
      <w:pPr>
        <w:keepNext/>
        <w:spacing w:after="120" w:before="240"/>
      </w:pPr>
      <w:r>
        <w:rPr>
          <w:rFonts w:ascii="Arial" w:cs="Arial" w:eastAsia="Arial" w:hAnsi="Arial"/>
          <w:b/>
          <w:bCs/>
          <w:sz w:val="24"/>
          <w:szCs w:val="24"/>
        </w:rPr>
        <w:t xml:space="preserve">2. L’objet du différend</w:t>
      </w:r>
    </w:p>
    <w:p>
      <w:pPr>
        <w:spacing w:after="140" w:before="0" w:line="276"/>
      </w:pPr>
      <w:r>
        <w:rPr>
          <w:rFonts w:ascii="Arial" w:cs="Arial" w:eastAsia="Arial" w:hAnsi="Arial"/>
          <w:b w:val="false"/>
          <w:bCs w:val="false"/>
          <w:sz w:val="21"/>
          <w:szCs w:val="21"/>
          <w:shd w:fill="FFF1B8" w:color="auto" w:val="clear"/>
        </w:rPr>
        <w:t xml:space="preserve">[En quelques lignes : ce que retient le décompte général, ce que nous réclamons, et pourquoi.]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238"/>
      </w:tblGrid>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Montant retenu par le décompte général</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r>
              <w:rPr>
                <w:rFonts w:ascii="Arial" w:cs="Arial" w:eastAsia="Arial" w:hAnsi="Arial"/>
                <w:b w:val="false"/>
                <w:bCs w:val="false"/>
                <w:sz w:val="19"/>
                <w:szCs w:val="19"/>
              </w:rPr>
              <w:t xml:space="preserve"> € HT</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Montant de notre projet de décompte final</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r>
              <w:rPr>
                <w:rFonts w:ascii="Arial" w:cs="Arial" w:eastAsia="Arial" w:hAnsi="Arial"/>
                <w:b w:val="false"/>
                <w:bCs w:val="false"/>
                <w:sz w:val="19"/>
                <w:szCs w:val="19"/>
              </w:rPr>
              <w:t xml:space="preserve"> € HT</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Montant total réclamé par le présent mémoire</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r>
              <w:rPr>
                <w:rFonts w:ascii="Arial" w:cs="Arial" w:eastAsia="Arial" w:hAnsi="Arial"/>
                <w:b w:val="false"/>
                <w:bCs w:val="false"/>
                <w:sz w:val="19"/>
                <w:szCs w:val="19"/>
              </w:rPr>
              <w:t xml:space="preserve"> € HT</w:t>
            </w:r>
          </w:p>
        </w:tc>
      </w:tr>
    </w:tbl>
    <w:p>
      <w:pPr>
        <w:keepNext/>
        <w:spacing w:after="120" w:before="240"/>
      </w:pPr>
      <w:r>
        <w:rPr>
          <w:rFonts w:ascii="Arial" w:cs="Arial" w:eastAsia="Arial" w:hAnsi="Arial"/>
          <w:b/>
          <w:bCs/>
          <w:sz w:val="24"/>
          <w:szCs w:val="24"/>
        </w:rPr>
        <w:t xml:space="preserve">3. Récapitulatif des chefs de réclamation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3900"/>
        <w:gridCol w:w="1500"/>
        <w:gridCol w:w="1900"/>
        <w:gridCol w:w="1538"/>
      </w:tblGrid>
      <w:tr>
        <w:trPr>
          <w:tblHeader/>
        </w:trPr>
        <w:tc>
          <w:tcPr>
            <w:tcW w:type="dxa" w:w="8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N°</w:t>
            </w:r>
          </w:p>
        </w:tc>
        <w:tc>
          <w:tcPr>
            <w:tcW w:type="dxa" w:w="39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Chef de réclamation</w:t>
            </w:r>
          </w:p>
        </w:tc>
        <w:tc>
          <w:tcPr>
            <w:tcW w:type="dxa" w:w="15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Montant (€ HT)</w:t>
            </w:r>
          </w:p>
        </w:tc>
        <w:tc>
          <w:tcPr>
            <w:tcW w:type="dxa" w:w="19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Réclamation antérieure</w:t>
            </w:r>
          </w:p>
        </w:tc>
        <w:tc>
          <w:tcPr>
            <w:tcW w:type="dxa" w:w="1538"/>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Pièces jointes</w:t>
            </w:r>
          </w:p>
        </w:tc>
      </w:tr>
      <w:tr>
        <w:tc>
          <w:tcPr>
            <w:tcW w:type="dxa" w:w="8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rPr>
              <w:t xml:space="preserve">1</w:t>
            </w:r>
          </w:p>
        </w:tc>
        <w:tc>
          <w:tcPr>
            <w:tcW w:type="dxa" w:w="39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[intitulé]</w:t>
            </w:r>
          </w:p>
        </w:tc>
        <w:tc>
          <w:tcPr>
            <w:tcW w:type="dxa" w:w="15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p>
        </w:tc>
        <w:tc>
          <w:tcPr>
            <w:tcW w:type="dxa" w:w="19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[non / oui, courrier du [date]]</w:t>
            </w:r>
          </w:p>
        </w:tc>
        <w:tc>
          <w:tcPr>
            <w:tcW w:type="dxa" w:w="15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 des pièces]</w:t>
            </w:r>
          </w:p>
        </w:tc>
      </w:tr>
      <w:tr>
        <w:tc>
          <w:tcPr>
            <w:tcW w:type="dxa" w:w="8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rPr>
              <w:t xml:space="preserve">2</w:t>
            </w:r>
          </w:p>
        </w:tc>
        <w:tc>
          <w:tcPr>
            <w:tcW w:type="dxa" w:w="39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[intitulé]</w:t>
            </w:r>
          </w:p>
        </w:tc>
        <w:tc>
          <w:tcPr>
            <w:tcW w:type="dxa" w:w="15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p>
        </w:tc>
        <w:tc>
          <w:tcPr>
            <w:tcW w:type="dxa" w:w="19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[non / oui, courrier du [date]]</w:t>
            </w:r>
          </w:p>
        </w:tc>
        <w:tc>
          <w:tcPr>
            <w:tcW w:type="dxa" w:w="15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 des pièces]</w:t>
            </w:r>
          </w:p>
        </w:tc>
      </w:tr>
      <w:tr>
        <w:tc>
          <w:tcPr>
            <w:tcW w:type="dxa" w:w="8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p>
        </w:tc>
        <w:tc>
          <w:tcPr>
            <w:tcW w:type="dxa" w:w="39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Total</w:t>
            </w:r>
          </w:p>
        </w:tc>
        <w:tc>
          <w:tcPr>
            <w:tcW w:type="dxa" w:w="15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p>
        </w:tc>
        <w:tc>
          <w:tcPr>
            <w:tcW w:type="dxa" w:w="19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p>
        </w:tc>
        <w:tc>
          <w:tcPr>
            <w:tcW w:type="dxa" w:w="15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p>
        </w:tc>
      </w:tr>
    </w:tbl>
    <w:p>
      <w:pPr>
        <w:keepNext/>
        <w:spacing w:after="120" w:before="240"/>
      </w:pPr>
      <w:r>
        <w:rPr>
          <w:rFonts w:ascii="Arial" w:cs="Arial" w:eastAsia="Arial" w:hAnsi="Arial"/>
          <w:b/>
          <w:bCs/>
          <w:sz w:val="24"/>
          <w:szCs w:val="24"/>
        </w:rPr>
        <w:t xml:space="preserve">4. Détail de chaque chef de réclamation</w:t>
      </w:r>
    </w:p>
    <w:p>
      <w:pPr>
        <w:spacing w:after="140" w:before="0" w:line="276"/>
      </w:pPr>
      <w:r>
        <w:rPr>
          <w:rFonts w:ascii="Arial" w:cs="Arial" w:eastAsia="Arial" w:hAnsi="Arial"/>
          <w:b w:val="false"/>
          <w:bCs w:val="false"/>
          <w:i/>
          <w:iCs/>
          <w:sz w:val="21"/>
          <w:szCs w:val="21"/>
          <w:shd w:fill="FFF1B8" w:color="auto" w:val="clear"/>
        </w:rPr>
        <w:t xml:space="preserve">[À supprimer : duplique le bloc ci-dessous autant de fois qu’il y a de chefs. Chefs fréquents sur un décompte général, selon nos pages : travaux supplémentaires restés sans avenant ; indemnité pour augmentation du montant des travaux au-delà de l’augmentation limite (article 14.3) ou pour diminution (article 15.1) ; changement dans l’importance des natures d’ouvrages sur prix unitaires (article 16.2) ; pénalités de retard contestées (articles 18.2 et 19.2).]</w:t>
      </w:r>
    </w:p>
    <w:p>
      <w:pPr>
        <w:keepNext/>
        <w:spacing w:after="140" w:before="160" w:line="276"/>
      </w:pPr>
      <w:r>
        <w:rPr>
          <w:rFonts w:ascii="Arial" w:cs="Arial" w:eastAsia="Arial" w:hAnsi="Arial"/>
          <w:b/>
          <w:bCs/>
          <w:sz w:val="21"/>
          <w:szCs w:val="21"/>
        </w:rPr>
        <w:t xml:space="preserve">4.1. Chef n° 1 : </w:t>
      </w:r>
      <w:r>
        <w:rPr>
          <w:rFonts w:ascii="Arial" w:cs="Arial" w:eastAsia="Arial" w:hAnsi="Arial"/>
          <w:b/>
          <w:bCs/>
          <w:sz w:val="21"/>
          <w:szCs w:val="21"/>
          <w:shd w:fill="FFF1B8" w:color="auto" w:val="clear"/>
        </w:rPr>
        <w:t xml:space="preserve">[intitulé, par exemple : travaux supplémentaires prescrits par l’ordre de service n° [numéro]]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238"/>
      </w:tblGrid>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Motifs</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[Les faits, datés : ce qui s’est passé, qui l’a demandé, quand.]</w:t>
            </w:r>
          </w:p>
          <w:p>
            <w:pPr>
              <w:spacing w:after="40" w:line="260"/>
            </w:pPr>
            <w:r>
              <w:rPr>
                <w:rFonts w:ascii="Arial" w:cs="Arial" w:eastAsia="Arial" w:hAnsi="Arial"/>
                <w:b w:val="false"/>
                <w:bCs w:val="false"/>
                <w:sz w:val="19"/>
                <w:szCs w:val="19"/>
                <w:shd w:fill="FFF1B8" w:color="auto" w:val="clear"/>
              </w:rPr>
              <w:t xml:space="preserve">[La règle qui fonde la demande : article du marché, du CCAP ou du CCAG, ordre de service, compte rendu de chantier.]</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Montant réclamé</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r>
              <w:rPr>
                <w:rFonts w:ascii="Arial" w:cs="Arial" w:eastAsia="Arial" w:hAnsi="Arial"/>
                <w:b w:val="false"/>
                <w:bCs w:val="false"/>
                <w:sz w:val="19"/>
                <w:szCs w:val="19"/>
              </w:rPr>
              <w:t xml:space="preserve"> € HT</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Base de calcul</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[Quantités × prix unitaires, avec la source de chaque prix : décomposition du prix global et forfaitaire, bordereau des prix unitaires, prix nouveaux, sous-détail.]</w:t>
            </w:r>
          </w:p>
          <w:p>
            <w:pPr>
              <w:spacing w:after="40" w:line="260"/>
            </w:pPr>
            <w:r>
              <w:rPr>
                <w:rFonts w:ascii="Arial" w:cs="Arial" w:eastAsia="Arial" w:hAnsi="Arial"/>
                <w:b w:val="false"/>
                <w:bCs w:val="false"/>
                <w:sz w:val="19"/>
                <w:szCs w:val="19"/>
                <w:shd w:fill="FFF1B8" w:color="auto" w:val="clear"/>
              </w:rPr>
              <w:t xml:space="preserve">[Période, formule, tableau détaillé en pièce n° [numéro].]</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Réclamation antérieure</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[Non / Oui : courrier du [date], référence [référence], montant alors réclamé : [montant] € HT. Reprise ici en application de l’article 55.1.1.]</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Pièces jointes</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[Numéros des pièces, toutes jointes au présent mémoire, même si elles ont déjà été envoyées.]</w:t>
            </w:r>
          </w:p>
        </w:tc>
      </w:tr>
    </w:tbl>
    <w:p>
      <w:pPr>
        <w:keepNext/>
        <w:spacing w:after="140" w:before="240" w:line="276"/>
      </w:pPr>
      <w:r>
        <w:rPr>
          <w:rFonts w:ascii="Arial" w:cs="Arial" w:eastAsia="Arial" w:hAnsi="Arial"/>
          <w:b/>
          <w:bCs/>
          <w:sz w:val="21"/>
          <w:szCs w:val="21"/>
        </w:rPr>
        <w:t xml:space="preserve">4.2. Chef n° 2 : </w:t>
      </w:r>
      <w:r>
        <w:rPr>
          <w:rFonts w:ascii="Arial" w:cs="Arial" w:eastAsia="Arial" w:hAnsi="Arial"/>
          <w:b/>
          <w:bCs/>
          <w:sz w:val="21"/>
          <w:szCs w:val="21"/>
          <w:shd w:fill="FFF1B8" w:color="auto" w:val="clear"/>
        </w:rPr>
        <w:t xml:space="preserve">[intitulé]</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238"/>
      </w:tblGrid>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Motifs</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[faits datés et règle qui fonde la demande]</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Montant réclamé</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r>
              <w:rPr>
                <w:rFonts w:ascii="Arial" w:cs="Arial" w:eastAsia="Arial" w:hAnsi="Arial"/>
                <w:b w:val="false"/>
                <w:bCs w:val="false"/>
                <w:sz w:val="19"/>
                <w:szCs w:val="19"/>
              </w:rPr>
              <w:t xml:space="preserve"> € HT</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Base de calcul</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[quantités, prix et leur source, période, formule]</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Réclamation antérieure</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[non / oui : date, référence, montant]</w:t>
            </w:r>
          </w:p>
        </w:tc>
      </w:tr>
      <w:tr>
        <w:tc>
          <w:tcPr>
            <w:tcW w:type="dxa" w:w="3400"/>
            <w:tcBorders>
              <w:top w:val="single" w:color="B9C2D0" w:sz="4"/>
              <w:left w:val="single" w:color="B9C2D0" w:sz="4"/>
              <w:bottom w:val="single" w:color="B9C2D0" w:sz="4"/>
              <w:right w:val="single" w:color="B9C2D0" w:sz="4"/>
            </w:tcBorders>
            <w:shd w:fill="F4F6F9"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Pièces jointes</w:t>
            </w:r>
          </w:p>
        </w:tc>
        <w:tc>
          <w:tcPr>
            <w:tcW w:type="dxa" w:w="62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[numéros]</w:t>
            </w:r>
          </w:p>
        </w:tc>
      </w:tr>
    </w:tbl>
    <w:p>
      <w:pPr>
        <w:keepNext/>
        <w:spacing w:after="120" w:before="240"/>
      </w:pPr>
      <w:r>
        <w:rPr>
          <w:rFonts w:ascii="Arial" w:cs="Arial" w:eastAsia="Arial" w:hAnsi="Arial"/>
          <w:b/>
          <w:bCs/>
          <w:sz w:val="24"/>
          <w:szCs w:val="24"/>
        </w:rPr>
        <w:t xml:space="preserve">5. Réclamations antérieures non réglées</w:t>
      </w:r>
    </w:p>
    <w:p>
      <w:pPr>
        <w:spacing w:after="140" w:before="0" w:line="276"/>
      </w:pPr>
      <w:r>
        <w:rPr>
          <w:rFonts w:ascii="Arial" w:cs="Arial" w:eastAsia="Arial" w:hAnsi="Arial"/>
          <w:b w:val="false"/>
          <w:bCs w:val="false"/>
          <w:sz w:val="21"/>
          <w:szCs w:val="21"/>
        </w:rPr>
        <w:t xml:space="preserve">L’article 55.1.1 du CCAG Travaux 2021 impose de reprendre, sous peine de forclusion, les réclamations formulées avant la notification du décompte général et qui n’ont pas fait l’objet d’un règlement définitif. Elles sont toutes listées ci-dessous.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3300"/>
        <w:gridCol w:w="1800"/>
        <w:gridCol w:w="1600"/>
        <w:gridCol w:w="1538"/>
      </w:tblGrid>
      <w:tr>
        <w:trPr>
          <w:tblHeader/>
        </w:trPr>
        <w:tc>
          <w:tcPr>
            <w:tcW w:type="dxa" w:w="14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Date</w:t>
            </w:r>
          </w:p>
        </w:tc>
        <w:tc>
          <w:tcPr>
            <w:tcW w:type="dxa" w:w="33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Objet</w:t>
            </w:r>
          </w:p>
        </w:tc>
        <w:tc>
          <w:tcPr>
            <w:tcW w:type="dxa" w:w="18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Référence du courrier</w:t>
            </w:r>
          </w:p>
        </w:tc>
        <w:tc>
          <w:tcPr>
            <w:tcW w:type="dxa" w:w="16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Montant réclamé alors (€ HT)</w:t>
            </w:r>
          </w:p>
        </w:tc>
        <w:tc>
          <w:tcPr>
            <w:tcW w:type="dxa" w:w="1538"/>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Reprise au chef n°</w:t>
            </w:r>
          </w:p>
        </w:tc>
      </w:tr>
      <w:tr>
        <w:tc>
          <w:tcPr>
            <w:tcW w:type="dxa" w:w="14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[date]</w:t>
            </w:r>
          </w:p>
        </w:tc>
        <w:tc>
          <w:tcPr>
            <w:tcW w:type="dxa" w:w="33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[objet]</w:t>
            </w:r>
          </w:p>
        </w:tc>
        <w:tc>
          <w:tcPr>
            <w:tcW w:type="dxa" w:w="18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[référence]</w:t>
            </w:r>
          </w:p>
        </w:tc>
        <w:tc>
          <w:tcPr>
            <w:tcW w:type="dxa" w:w="16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p>
        </w:tc>
        <w:tc>
          <w:tcPr>
            <w:tcW w:type="dxa" w:w="15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w:t>
            </w:r>
          </w:p>
        </w:tc>
      </w:tr>
      <w:tr>
        <w:tc>
          <w:tcPr>
            <w:tcW w:type="dxa" w:w="14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[date]</w:t>
            </w:r>
          </w:p>
        </w:tc>
        <w:tc>
          <w:tcPr>
            <w:tcW w:type="dxa" w:w="33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[objet]</w:t>
            </w:r>
          </w:p>
        </w:tc>
        <w:tc>
          <w:tcPr>
            <w:tcW w:type="dxa" w:w="18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[référence]</w:t>
            </w:r>
          </w:p>
        </w:tc>
        <w:tc>
          <w:tcPr>
            <w:tcW w:type="dxa" w:w="16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[montant]</w:t>
            </w:r>
          </w:p>
        </w:tc>
        <w:tc>
          <w:tcPr>
            <w:tcW w:type="dxa" w:w="15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w:t>
            </w:r>
          </w:p>
        </w:tc>
      </w:tr>
    </w:tbl>
    <w:p>
      <w:pPr>
        <w:spacing w:after="140" w:before="120" w:line="276"/>
      </w:pPr>
      <w:r>
        <w:rPr>
          <w:rFonts w:ascii="Arial" w:cs="Arial" w:eastAsia="Arial" w:hAnsi="Arial"/>
          <w:b w:val="false"/>
          <w:bCs w:val="false"/>
          <w:sz w:val="21"/>
          <w:szCs w:val="21"/>
          <w:shd w:fill="FFF1B8" w:color="auto" w:val="clear"/>
        </w:rPr>
        <w:t xml:space="preserve">[Si aucune : Aucune réclamation formulée avant la notification du décompte général n’est restée sans règlement définitif.]</w:t>
      </w:r>
    </w:p>
    <w:p>
      <w:pPr>
        <w:keepNext/>
        <w:spacing w:after="120" w:before="240"/>
      </w:pPr>
      <w:r>
        <w:rPr>
          <w:rFonts w:ascii="Arial" w:cs="Arial" w:eastAsia="Arial" w:hAnsi="Arial"/>
          <w:b/>
          <w:bCs/>
          <w:sz w:val="24"/>
          <w:szCs w:val="24"/>
        </w:rPr>
        <w:t xml:space="preserve">6. Réponse aux mentions du maître d’ouvrage (article 12.4.2)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00"/>
        <w:gridCol w:w="4300"/>
        <w:gridCol w:w="1838"/>
      </w:tblGrid>
      <w:tr>
        <w:trPr>
          <w:tblHeader/>
        </w:trPr>
        <w:tc>
          <w:tcPr>
            <w:tcW w:type="dxa" w:w="35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Mention portée au décompte général</w:t>
            </w:r>
          </w:p>
        </w:tc>
        <w:tc>
          <w:tcPr>
            <w:tcW w:type="dxa" w:w="4300"/>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Notre réponse</w:t>
            </w:r>
          </w:p>
        </w:tc>
        <w:tc>
          <w:tcPr>
            <w:tcW w:type="dxa" w:w="1838"/>
            <w:tcBorders>
              <w:top w:val="single" w:color="B9C2D0" w:sz="4"/>
              <w:left w:val="single" w:color="B9C2D0" w:sz="4"/>
              <w:bottom w:val="single" w:color="B9C2D0" w:sz="4"/>
              <w:right w:val="single" w:color="B9C2D0" w:sz="4"/>
            </w:tcBorders>
            <w:shd w:fill="E8F6F4" w:color="auto" w:val="clear"/>
            <w:tcMar>
              <w:top w:type="dxa" w:w="70"/>
              <w:left w:type="dxa" w:w="100"/>
              <w:bottom w:type="dxa" w:w="70"/>
              <w:right w:type="dxa" w:w="100"/>
            </w:tcMar>
            <w:vAlign w:val="top"/>
          </w:tcPr>
          <w:p>
            <w:pPr>
              <w:spacing w:after="40" w:line="260"/>
            </w:pPr>
            <w:r>
              <w:rPr>
                <w:rFonts w:ascii="Arial" w:cs="Arial" w:eastAsia="Arial" w:hAnsi="Arial"/>
                <w:b/>
                <w:bCs/>
                <w:sz w:val="19"/>
                <w:szCs w:val="19"/>
              </w:rPr>
              <w:t xml:space="preserve">Pièces</w:t>
            </w:r>
          </w:p>
        </w:tc>
      </w:tr>
      <w:tr>
        <w:tc>
          <w:tcPr>
            <w:tcW w:type="dxa" w:w="35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[mention, citée mot pour mot]</w:t>
            </w:r>
          </w:p>
        </w:tc>
        <w:tc>
          <w:tcPr>
            <w:tcW w:type="dxa" w:w="43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[réponse]</w:t>
            </w:r>
          </w:p>
        </w:tc>
        <w:tc>
          <w:tcPr>
            <w:tcW w:type="dxa" w:w="18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w:t>
            </w:r>
          </w:p>
        </w:tc>
      </w:tr>
      <w:tr>
        <w:tc>
          <w:tcPr>
            <w:tcW w:type="dxa" w:w="35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[mention]</w:t>
            </w:r>
          </w:p>
        </w:tc>
        <w:tc>
          <w:tcPr>
            <w:tcW w:type="dxa" w:w="4300"/>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[réponse]</w:t>
            </w:r>
          </w:p>
        </w:tc>
        <w:tc>
          <w:tcPr>
            <w:tcW w:type="dxa" w:w="1838"/>
            <w:tcBorders>
              <w:top w:val="single" w:color="B9C2D0" w:sz="4"/>
              <w:left w:val="single" w:color="B9C2D0" w:sz="4"/>
              <w:bottom w:val="single" w:color="B9C2D0" w:sz="4"/>
              <w:right w:val="single" w:color="B9C2D0" w:sz="4"/>
            </w:tcBorders>
            <w:tcMar>
              <w:top w:type="dxa" w:w="70"/>
              <w:left w:type="dxa" w:w="100"/>
              <w:bottom w:type="dxa" w:w="70"/>
              <w:right w:type="dxa" w:w="100"/>
            </w:tcMar>
            <w:vAlign w:val="top"/>
          </w:tcPr>
          <w:p>
            <w:pPr>
              <w:spacing w:after="40" w:line="260"/>
            </w:pPr>
            <w:r>
              <w:rPr>
                <w:rFonts w:ascii="Arial" w:cs="Arial" w:eastAsia="Arial" w:hAnsi="Arial"/>
                <w:b w:val="false"/>
                <w:bCs w:val="false"/>
                <w:sz w:val="19"/>
                <w:szCs w:val="19"/>
                <w:shd w:fill="FFF1B8" w:color="auto" w:val="clear"/>
              </w:rPr>
              <w:t xml:space="preserve">[n°]</w:t>
            </w:r>
          </w:p>
        </w:tc>
      </w:tr>
    </w:tbl>
    <w:p>
      <w:pPr>
        <w:spacing w:after="140" w:before="120" w:line="276"/>
      </w:pPr>
      <w:r>
        <w:rPr>
          <w:rFonts w:ascii="Arial" w:cs="Arial" w:eastAsia="Arial" w:hAnsi="Arial"/>
          <w:b w:val="false"/>
          <w:bCs w:val="false"/>
          <w:sz w:val="21"/>
          <w:szCs w:val="21"/>
          <w:shd w:fill="FFF1B8" w:color="auto" w:val="clear"/>
        </w:rPr>
        <w:t xml:space="preserve">[Si le décompte ne porte aucune mention, supprime cette section.]</w:t>
      </w:r>
    </w:p>
    <w:p>
      <w:pPr>
        <w:keepNext/>
        <w:spacing w:after="120" w:before="240"/>
      </w:pPr>
      <w:r>
        <w:rPr>
          <w:rFonts w:ascii="Arial" w:cs="Arial" w:eastAsia="Arial" w:hAnsi="Arial"/>
          <w:b/>
          <w:bCs/>
          <w:sz w:val="24"/>
          <w:szCs w:val="24"/>
        </w:rPr>
        <w:t xml:space="preserve">7. Demande</w:t>
      </w:r>
    </w:p>
    <w:p>
      <w:pPr>
        <w:spacing w:after="140" w:before="0" w:line="276"/>
      </w:pPr>
      <w:r>
        <w:rPr>
          <w:rFonts w:ascii="Arial" w:cs="Arial" w:eastAsia="Arial" w:hAnsi="Arial"/>
          <w:b w:val="false"/>
          <w:bCs w:val="false"/>
          <w:sz w:val="21"/>
          <w:szCs w:val="21"/>
        </w:rPr>
        <w:t xml:space="preserve">Par ces motifs, nous demandons au maître d’ouvrage d’admettre les chefs de réclamation exposés ci-dessus, pour un montant total de </w:t>
      </w:r>
      <w:r>
        <w:rPr>
          <w:rFonts w:ascii="Arial" w:cs="Arial" w:eastAsia="Arial" w:hAnsi="Arial"/>
          <w:b w:val="false"/>
          <w:bCs w:val="false"/>
          <w:sz w:val="21"/>
          <w:szCs w:val="21"/>
          <w:shd w:fill="FFF1B8" w:color="auto" w:val="clear"/>
        </w:rPr>
        <w:t xml:space="preserve">[montant]</w:t>
      </w:r>
      <w:r>
        <w:rPr>
          <w:rFonts w:ascii="Arial" w:cs="Arial" w:eastAsia="Arial" w:hAnsi="Arial"/>
          <w:b w:val="false"/>
          <w:bCs w:val="false"/>
          <w:sz w:val="21"/>
          <w:szCs w:val="21"/>
        </w:rPr>
        <w:t xml:space="preserve"> € HT, soit </w:t>
      </w:r>
      <w:r>
        <w:rPr>
          <w:rFonts w:ascii="Arial" w:cs="Arial" w:eastAsia="Arial" w:hAnsi="Arial"/>
          <w:b w:val="false"/>
          <w:bCs w:val="false"/>
          <w:sz w:val="21"/>
          <w:szCs w:val="21"/>
          <w:shd w:fill="FFF1B8" w:color="auto" w:val="clear"/>
        </w:rPr>
        <w:t xml:space="preserve">[montant]</w:t>
      </w:r>
      <w:r>
        <w:rPr>
          <w:rFonts w:ascii="Arial" w:cs="Arial" w:eastAsia="Arial" w:hAnsi="Arial"/>
          <w:b w:val="false"/>
          <w:bCs w:val="false"/>
          <w:sz w:val="21"/>
          <w:szCs w:val="21"/>
        </w:rPr>
        <w:t xml:space="preserve"> € TTC, et de porter en conséquence le solde du marché à </w:t>
      </w:r>
      <w:r>
        <w:rPr>
          <w:rFonts w:ascii="Arial" w:cs="Arial" w:eastAsia="Arial" w:hAnsi="Arial"/>
          <w:b w:val="false"/>
          <w:bCs w:val="false"/>
          <w:sz w:val="21"/>
          <w:szCs w:val="21"/>
          <w:shd w:fill="FFF1B8" w:color="auto" w:val="clear"/>
        </w:rPr>
        <w:t xml:space="preserve">[montant]</w:t>
      </w:r>
      <w:r>
        <w:rPr>
          <w:rFonts w:ascii="Arial" w:cs="Arial" w:eastAsia="Arial" w:hAnsi="Arial"/>
          <w:b w:val="false"/>
          <w:bCs w:val="false"/>
          <w:sz w:val="21"/>
          <w:szCs w:val="21"/>
        </w:rPr>
        <w:t xml:space="preserve"> € HT.</w:t>
      </w:r>
    </w:p>
    <w:p>
      <w:pPr>
        <w:spacing w:after="0" w:before="200" w:line="276"/>
        <w:ind w:left="4820"/>
      </w:pPr>
      <w:r>
        <w:rPr>
          <w:rFonts w:ascii="Arial" w:cs="Arial" w:eastAsia="Arial" w:hAnsi="Arial"/>
          <w:b w:val="false"/>
          <w:bCs w:val="false"/>
          <w:sz w:val="21"/>
          <w:szCs w:val="21"/>
          <w:shd w:fill="FFF1B8" w:color="auto" w:val="clear"/>
        </w:rPr>
        <w:t xml:space="preserve">[Lieu]</w:t>
      </w:r>
      <w:r>
        <w:rPr>
          <w:rFonts w:ascii="Arial" w:cs="Arial" w:eastAsia="Arial" w:hAnsi="Arial"/>
          <w:b w:val="false"/>
          <w:bCs w:val="false"/>
          <w:sz w:val="21"/>
          <w:szCs w:val="21"/>
        </w:rPr>
        <w:t xml:space="preserve">, le </w:t>
      </w:r>
      <w:r>
        <w:rPr>
          <w:rFonts w:ascii="Arial" w:cs="Arial" w:eastAsia="Arial" w:hAnsi="Arial"/>
          <w:b w:val="false"/>
          <w:bCs w:val="false"/>
          <w:sz w:val="21"/>
          <w:szCs w:val="21"/>
          <w:shd w:fill="FFF1B8" w:color="auto" w:val="clear"/>
        </w:rPr>
        <w:t xml:space="preserve">[date]</w:t>
      </w:r>
    </w:p>
    <w:p>
      <w:pPr>
        <w:spacing w:after="0" w:before="0" w:line="276"/>
        <w:ind w:left="4820"/>
      </w:pPr>
      <w:r>
        <w:rPr>
          <w:rFonts w:ascii="Arial" w:cs="Arial" w:eastAsia="Arial" w:hAnsi="Arial"/>
          <w:b w:val="false"/>
          <w:bCs w:val="false"/>
          <w:sz w:val="21"/>
          <w:szCs w:val="21"/>
          <w:shd w:fill="FFF1B8" w:color="auto" w:val="clear"/>
        </w:rPr>
        <w:t xml:space="preserve">[Nom et prénom du signataire]</w:t>
      </w:r>
      <w:r>
        <w:rPr>
          <w:rFonts w:ascii="Arial" w:cs="Arial" w:eastAsia="Arial" w:hAnsi="Arial"/>
          <w:b w:val="false"/>
          <w:bCs w:val="false"/>
          <w:sz w:val="21"/>
          <w:szCs w:val="21"/>
        </w:rPr>
        <w:t xml:space="preserve">, </w:t>
      </w:r>
      <w:r>
        <w:rPr>
          <w:rFonts w:ascii="Arial" w:cs="Arial" w:eastAsia="Arial" w:hAnsi="Arial"/>
          <w:b w:val="false"/>
          <w:bCs w:val="false"/>
          <w:sz w:val="21"/>
          <w:szCs w:val="21"/>
          <w:shd w:fill="FFF1B8" w:color="auto" w:val="clear"/>
        </w:rPr>
        <w:t xml:space="preserve">[qualité]</w:t>
      </w:r>
    </w:p>
    <w:p>
      <w:pPr>
        <w:spacing w:after="300" w:before="0" w:line="276"/>
        <w:ind w:left="4820"/>
      </w:pPr>
      <w:r>
        <w:rPr>
          <w:rFonts w:ascii="Arial" w:cs="Arial" w:eastAsia="Arial" w:hAnsi="Arial"/>
          <w:b w:val="false"/>
          <w:bCs w:val="false"/>
          <w:sz w:val="21"/>
          <w:szCs w:val="21"/>
          <w:shd w:fill="FFF1B8" w:color="auto" w:val="clear"/>
        </w:rPr>
        <w:t xml:space="preserve">[Signature]</w:t>
      </w:r>
    </w:p>
    <w:p>
      <w:pPr>
        <w:keepNext/>
        <w:spacing w:after="120" w:before="240"/>
      </w:pPr>
      <w:r>
        <w:rPr>
          <w:rFonts w:ascii="Arial" w:cs="Arial" w:eastAsia="Arial" w:hAnsi="Arial"/>
          <w:b/>
          <w:bCs/>
          <w:sz w:val="24"/>
          <w:szCs w:val="24"/>
        </w:rPr>
        <w:t xml:space="preserve">Pièces jointes au mémoire</w:t>
      </w:r>
    </w:p>
    <w:p>
      <w:pPr>
        <w:pStyle w:val="ListParagraph"/>
        <w:numPr>
          <w:ilvl w:val="0"/>
          <w:numId w:val="3"/>
        </w:numPr>
        <w:spacing w:after="80" w:line="276"/>
      </w:pPr>
      <w:r>
        <w:rPr>
          <w:rFonts w:ascii="Arial" w:cs="Arial" w:eastAsia="Arial" w:hAnsi="Arial"/>
          <w:b w:val="false"/>
          <w:bCs w:val="false"/>
          <w:sz w:val="21"/>
          <w:szCs w:val="21"/>
          <w:shd w:fill="FFF1B8" w:color="auto" w:val="clear"/>
        </w:rPr>
        <w:t xml:space="preserve">[Décompte général notifié le [date]]</w:t>
      </w:r>
    </w:p>
    <w:p>
      <w:pPr>
        <w:pStyle w:val="ListParagraph"/>
        <w:numPr>
          <w:ilvl w:val="0"/>
          <w:numId w:val="3"/>
        </w:numPr>
        <w:spacing w:after="80" w:line="276"/>
      </w:pPr>
      <w:r>
        <w:rPr>
          <w:rFonts w:ascii="Arial" w:cs="Arial" w:eastAsia="Arial" w:hAnsi="Arial"/>
          <w:b w:val="false"/>
          <w:bCs w:val="false"/>
          <w:sz w:val="21"/>
          <w:szCs w:val="21"/>
          <w:shd w:fill="FFF1B8" w:color="auto" w:val="clear"/>
        </w:rPr>
        <w:t xml:space="preserve">[Projet de décompte final notifié le [date]]</w:t>
      </w:r>
    </w:p>
    <w:p>
      <w:pPr>
        <w:pStyle w:val="ListParagraph"/>
        <w:numPr>
          <w:ilvl w:val="0"/>
          <w:numId w:val="3"/>
        </w:numPr>
        <w:spacing w:after="80" w:line="276"/>
      </w:pPr>
      <w:r>
        <w:rPr>
          <w:rFonts w:ascii="Arial" w:cs="Arial" w:eastAsia="Arial" w:hAnsi="Arial"/>
          <w:b w:val="false"/>
          <w:bCs w:val="false"/>
          <w:sz w:val="21"/>
          <w:szCs w:val="21"/>
          <w:shd w:fill="FFF1B8" w:color="auto" w:val="clear"/>
        </w:rPr>
        <w:t xml:space="preserve">[Ordres de service, comptes rendus de chantier, courriers de réclamation antérieurs]</w:t>
      </w:r>
    </w:p>
    <w:p>
      <w:pPr>
        <w:pStyle w:val="ListParagraph"/>
        <w:numPr>
          <w:ilvl w:val="0"/>
          <w:numId w:val="3"/>
        </w:numPr>
        <w:spacing w:after="80" w:line="276"/>
      </w:pPr>
      <w:r>
        <w:rPr>
          <w:rFonts w:ascii="Arial" w:cs="Arial" w:eastAsia="Arial" w:hAnsi="Arial"/>
          <w:b w:val="false"/>
          <w:bCs w:val="false"/>
          <w:sz w:val="21"/>
          <w:szCs w:val="21"/>
          <w:shd w:fill="FFF1B8" w:color="auto" w:val="clear"/>
        </w:rPr>
        <w:t xml:space="preserve">[Tableaux de calcul]</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320"/>
      </w:pPr>
    </w:lvl>
  </w:abstractNum>
  <w:abstractNum w:abstractNumId="4" w15:restartNumberingAfterBreak="0">
    <w:multiLevelType w:val="hybridMultilevel"/>
    <w:lvl w:ilvl="0" w15:tentative="1">
      <w:start w:val="1"/>
      <w:numFmt w:val="decimal"/>
      <w:lvlText w:val="%1."/>
      <w:lvlJc w:val="left"/>
      <w:pPr>
        <w:ind w:left="460" w:hanging="320"/>
      </w:pPr>
    </w:lvl>
  </w:abstractNum>
  <w:abstractNum w:abstractNumId="5" w15:restartNumberingAfterBreak="0">
    <w:multiLevelType w:val="hybridMultilevel"/>
    <w:lvl w:ilvl="0" w15:tentative="1">
      <w:start w:val="1"/>
      <w:numFmt w:val="decimal"/>
      <w:lvlText w:val="%1."/>
      <w:lvlJc w:val="left"/>
      <w:pPr>
        <w:ind w:left="460" w:hanging="320"/>
      </w:pPr>
    </w:lvl>
  </w:abstractNum>
  <w:abstractNum w:abstractNumId="6" w15:restartNumberingAfterBreak="0">
    <w:multiLevelType w:val="hybridMultilevel"/>
    <w:lvl w:ilvl="0" w15:tentative="1">
      <w:start w:val="1"/>
      <w:numFmt w:val="decimal"/>
      <w:lvlText w:val="%1."/>
      <w:lvlJc w:val="left"/>
      <w:pPr>
        <w:ind w:left="460" w:hanging="320"/>
      </w:pPr>
    </w:lvl>
  </w:abstractNum>
  <w:num w:numId="1">
    <w:abstractNumId w:val="1"/>
    <w:lvlOverride w:ilvl="0">
      <w:startOverride w:val="1"/>
    </w:lvlOverride>
  </w:num>
  <w:num w:numId="2">
    <w:abstractNumId w:val="5"/>
    <w:lvlOverride w:ilvl="0">
      <w:startOverride w:val="1"/>
    </w:lvlOverride>
  </w:num>
  <w:num w:numId="3">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Décompte général : renvoi avec réserves et mémoire en réclamation (CCAG Travaux 2021)</dc:title>
  <dc:creator>Productiv·IA</dc:creator>
  <dc:description>Modèle de courrier et trame de mémoire, règles par défaut du CCAG Travaux 2021</dc:description>
  <cp:lastModifiedBy>Un-named</cp:lastModifiedBy>
  <cp:revision>1</cp:revision>
  <dcterms:created xsi:type="dcterms:W3CDTF">2026-09-27T20:58:39.474Z</dcterms:created>
  <dcterms:modified xsi:type="dcterms:W3CDTF">2026-09-27T20:58:39.474Z</dcterms:modified>
</cp:coreProperties>
</file>

<file path=docProps/custom.xml><?xml version="1.0" encoding="utf-8"?>
<Properties xmlns="http://schemas.openxmlformats.org/officeDocument/2006/custom-properties" xmlns:vt="http://schemas.openxmlformats.org/officeDocument/2006/docPropsVTypes"/>
</file>