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0D9488" w:sz="24" w:space="8"/>
        </w:pBdr>
        <w:shd w:fill="E8F6F4" w:color="auto" w:val="clear"/>
        <w:spacing w:after="70" w:line="264"/>
        <w:ind w:left="170" w:right="170"/>
      </w:pPr>
      <w:r>
        <w:rPr>
          <w:rFonts w:ascii="Arial" w:cs="Arial" w:eastAsia="Arial" w:hAnsi="Arial"/>
          <w:b/>
          <w:bCs/>
          <w:color w:val="0D9488"/>
          <w:sz w:val="17"/>
          <w:szCs w:val="17"/>
        </w:rPr>
        <w:t xml:space="preserve">À LIRE, PUIS SUPPRIMER CE CADRE AVANT ENVOI</w:t>
      </w:r>
    </w:p>
    <w:p>
      <w:pPr>
        <w:pBdr>
          <w:left w:val="single" w:color="0D9488" w:sz="24" w:space="8"/>
        </w:pBdr>
        <w:shd w:fill="E8F6F4" w:color="auto" w:val="clear"/>
        <w:spacing w:after="110" w:line="264"/>
        <w:ind w:left="170" w:right="17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Modèle 2 · Répondre à un ordre de service</w:t>
      </w:r>
    </w:p>
    <w:p>
      <w:pPr>
        <w:pBdr>
          <w:left w:val="single" w:color="0D9488" w:sz="24" w:space="8"/>
        </w:pBdr>
        <w:shd w:fill="E8F6F4" w:color="auto" w:val="clear"/>
        <w:spacing w:after="70" w:line="264"/>
        <w:ind w:left="170" w:right="17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Repose sur : 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CCAG Travaux 2021, articles 3.1, 3.2, 3.8.1, 3.8.2, 3.8.3 et 3.8.6 (version en vigueur depuis le 8 octobre 2021), articles 13.3, 13.4, 13.5 et 13.6 (version en vigueur depuis le 1er avril 2021).</w:t>
      </w:r>
    </w:p>
    <w:p>
      <w:pPr>
        <w:pBdr>
          <w:left w:val="single" w:color="0D9488" w:sz="24" w:space="8"/>
        </w:pBdr>
        <w:shd w:fill="E8F6F4" w:color="auto" w:val="clear"/>
        <w:spacing w:after="70" w:line="264"/>
        <w:ind w:left="170" w:right="17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Règles par défaut : 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ce modèle applique les règles par défaut du CCAG Travaux 2021. Il ne vaut que si ton marché s’y réfère, et son CCAP peut déroger à chacun des articles cités (article R2112-3 du code de la commande publique) : lis la liste des dérogations de ton CCAP avant de l’utiliser.</w:t>
      </w:r>
    </w:p>
    <w:p>
      <w:pPr>
        <w:pBdr>
          <w:left w:val="single" w:color="0D9488" w:sz="24" w:space="8"/>
        </w:pBdr>
        <w:shd w:fill="E8F6F4" w:color="auto" w:val="clear"/>
        <w:spacing w:after="70" w:line="264"/>
        <w:ind w:left="170" w:right="17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Pas un avis juridique : 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ce modèle ne remplace pas un avocat sur un litige.</w:t>
      </w:r>
    </w:p>
    <w:p>
      <w:pPr>
        <w:pBdr>
          <w:left w:val="single" w:color="0D9488" w:sz="24" w:space="8"/>
        </w:pBdr>
        <w:shd w:fill="E8F6F4" w:color="auto" w:val="clear"/>
        <w:spacing w:after="70" w:line="264"/>
        <w:ind w:left="170" w:right="17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Trois lettres, une par situation : 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garde celle qui correspond à ton cas et supprime les deux autres.</w:t>
      </w:r>
    </w:p>
    <w:p>
      <w:pPr>
        <w:pBdr>
          <w:left w:val="single" w:color="0D9488" w:sz="24" w:space="8"/>
        </w:pBdr>
        <w:shd w:fill="E8F6F4" w:color="auto" w:val="clear"/>
        <w:spacing w:after="70" w:line="264"/>
        <w:ind w:left="170" w:right="17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Lettre A · Observations : 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si les prescriptions de l’ordre de service appellent des observations : au maître d’œuvre ET au maître d’ouvrage, dans les quinze jours de sa réception, sous peine de forclusion (article 3.8.2).</w:t>
      </w:r>
    </w:p>
    <w:p>
      <w:pPr>
        <w:pBdr>
          <w:left w:val="single" w:color="0D9488" w:sz="24" w:space="8"/>
        </w:pBdr>
        <w:shd w:fill="E8F6F4" w:color="auto" w:val="clear"/>
        <w:spacing w:after="70" w:line="264"/>
        <w:ind w:left="170" w:right="17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Lettre B · Ordre de service sans prix : 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pour refuser un ordre de service de prestations supplémentaires ou modificatives qui n’a fait l’objet d’aucune valorisation financière : par écrit, avec les justifications nécessaires, au maître d’œuvre, dans les quinze jours suivant sa notification, copie au maître d’ouvrage (article 13.6).</w:t>
      </w:r>
    </w:p>
    <w:p>
      <w:pPr>
        <w:pBdr>
          <w:left w:val="single" w:color="0D9488" w:sz="24" w:space="8"/>
        </w:pBdr>
        <w:shd w:fill="E8F6F4" w:color="auto" w:val="clear"/>
        <w:spacing w:after="70" w:line="264"/>
        <w:ind w:left="170" w:right="17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Lettre C · Prix provisoires : 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pour ne pas être réputé accepter les prix provisoires fixés par l’ordre de service : présenter au maître d’œuvre, dans les trente jours suivant l’ordre de service qui te les a notifiés, les prix que tu proposes, avec toutes justifications utiles (article 13.5).</w:t>
      </w:r>
    </w:p>
    <w:p>
      <w:pPr>
        <w:pBdr>
          <w:left w:val="single" w:color="0D9488" w:sz="24" w:space="8"/>
        </w:pBdr>
        <w:shd w:fill="E8F6F4" w:color="auto" w:val="clear"/>
        <w:spacing w:after="70" w:line="264"/>
        <w:ind w:left="170" w:right="17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Contester ne suspend rien : 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tu te conformes à l’ordre de service, qu’il ait fait ou non l’objet d’observations (article 3.8.3), hors les cas réservés par le texte, dont les deux options de la lettre A et la lettre B.</w:t>
      </w:r>
    </w:p>
    <w:p>
      <w:pPr>
        <w:pBdr>
          <w:left w:val="single" w:color="0D9488" w:sz="24" w:space="8"/>
        </w:pBdr>
        <w:shd w:fill="E8F6F4" w:color="auto" w:val="clear"/>
        <w:spacing w:after="70" w:line="264"/>
        <w:ind w:left="170" w:right="17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Cas non couvert : 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le refus de travaux qui correspondent à des changements dans les besoins ou les conditions d’utilisation de l’ouvrage, au-delà du dixième du montant contractuel, se notifie au maître d’ouvrage, pas au maître d’œuvre (article 14.2.2). Ce modèle ne le traite pas.</w:t>
      </w:r>
    </w:p>
    <w:p>
      <w:pPr>
        <w:pBdr>
          <w:left w:val="single" w:color="0D9488" w:sz="24" w:space="8"/>
        </w:pBdr>
        <w:shd w:fill="E8F6F4" w:color="auto" w:val="clear"/>
        <w:spacing w:after="70" w:line="264"/>
        <w:ind w:left="170" w:right="17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Comment compter : 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un délai commence le lendemain du fait qui le déclenche, en jours calendaires ; s’il finit un samedi, un dimanche ou un jour férié, il est prolongé jusqu’au premier jour ouvrable suivant (article 3.2). Une notification se date à sa réception (article 3.1) : envoie par un moyen qui prouve la date de réception, et assez tôt pour que ton courrier soit reçu dans le délai.</w:t>
      </w:r>
    </w:p>
    <w:p>
      <w:pPr>
        <w:pBdr>
          <w:left w:val="single" w:color="0D9488" w:sz="24" w:space="8"/>
        </w:pBdr>
        <w:shd w:fill="E8F6F4" w:color="auto" w:val="clear"/>
        <w:spacing w:after="70" w:line="264"/>
        <w:ind w:left="170" w:right="17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Registre : 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le registre des ordres de service (modèle 1, tableur) calcule les échéances de quinze et de trente jours à partir de la date de réception.</w:t>
      </w:r>
    </w:p>
    <w:p>
      <w:pPr>
        <w:pBdr>
          <w:left w:val="single" w:color="0D9488" w:sz="24" w:space="8"/>
        </w:pBdr>
        <w:shd w:fill="E8F6F4" w:color="auto" w:val="clear"/>
        <w:spacing w:after="70" w:line="264"/>
        <w:ind w:left="170" w:right="17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Mode d’emploi : 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complète les champs surlignés entre crochets, supprime les options qui ne te concernent pas, puis supprime ce cadre. Modèle Productiv·IA du 27 septembre 2026, à jour des textes relus sur Legifrance ce jour-là.</w:t>
      </w:r>
    </w:p>
    <w:p>
      <w:pPr>
        <w:pBdr>
          <w:left w:val="single" w:color="0D9488" w:sz="24" w:space="8"/>
        </w:pBdr>
        <w:shd w:fill="E8F6F4" w:color="auto" w:val="clear"/>
        <w:spacing w:after="70" w:line="264"/>
        <w:ind w:left="170" w:right="17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Explications : 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productiv-ia.fr/blog/artisan-batiment/travaux-supplementaires/#refuser</w:t>
      </w:r>
    </w:p>
    <w:p>
      <w:pPr>
        <w:spacing w:after="280"/>
      </w:pPr>
    </w:p>
    <w:p>
      <w:pPr>
        <w:spacing w:after="240" w:before="0" w:line="276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Lettre A · Observations sur un ordre de service (article 3.8.2)</w:t>
      </w:r>
    </w:p>
    <w:p>
      <w:pPr>
        <w:spacing w:after="0" w:before="0" w:line="276"/>
      </w:pPr>
      <w:r>
        <w:rPr>
          <w:rFonts w:ascii="Arial" w:cs="Arial" w:eastAsia="Arial" w:hAnsi="Arial"/>
          <w:b/>
          <w:bCs/>
          <w:sz w:val="21"/>
          <w:szCs w:val="21"/>
          <w:shd w:fill="FFF1B8" w:color="auto" w:val="clear"/>
        </w:rPr>
        <w:t xml:space="preserve">[Raison sociale de l’entreprise]</w:t>
      </w:r>
    </w:p>
    <w:p>
      <w:pPr>
        <w:spacing w:after="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[Adresse]</w:t>
      </w:r>
    </w:p>
    <w:p>
      <w:pPr>
        <w:spacing w:after="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[Code postal, ville]</w:t>
      </w:r>
    </w:p>
    <w:p>
      <w:pPr>
        <w:spacing w:after="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SIRET :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[numéro]</w:t>
      </w:r>
    </w:p>
    <w:p>
      <w:pPr>
        <w:spacing w:after="24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[Téléphone, email]</w:t>
      </w:r>
    </w:p>
    <w:p>
      <w:pPr>
        <w:spacing w:after="0" w:before="0" w:line="276"/>
        <w:ind w:left="48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Maître d’œuvre</w:t>
      </w:r>
    </w:p>
    <w:p>
      <w:pPr>
        <w:spacing w:after="0" w:before="0" w:line="276"/>
        <w:ind w:left="4820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[Nom du maître d’œuvre]</w:t>
      </w:r>
    </w:p>
    <w:p>
      <w:pPr>
        <w:spacing w:after="140" w:before="0" w:line="276"/>
        <w:ind w:left="4820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[Adresse]</w:t>
      </w:r>
    </w:p>
    <w:p>
      <w:pPr>
        <w:spacing w:after="0" w:before="0" w:line="276"/>
        <w:ind w:left="48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Maître d’ouvrage</w:t>
      </w:r>
    </w:p>
    <w:p>
      <w:pPr>
        <w:spacing w:after="0" w:before="0" w:line="276"/>
        <w:ind w:left="4820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[Nom de l’acheteur, service]</w:t>
      </w:r>
    </w:p>
    <w:p>
      <w:pPr>
        <w:spacing w:after="0" w:before="0" w:line="276"/>
        <w:ind w:left="4820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[Adresse]</w:t>
      </w:r>
    </w:p>
    <w:p>
      <w:pPr>
        <w:spacing w:after="200" w:before="0" w:line="276"/>
      </w:pPr>
    </w:p>
    <w:p>
      <w:pPr>
        <w:spacing w:after="6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Envoi :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[lettre recommandée avec avis de réception / remise contre récépissé / profil d’acheteur / adresse électronique prévue au marché]</w:t>
      </w:r>
    </w:p>
    <w:p>
      <w:pPr>
        <w:spacing w:after="24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[Lieu]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, le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[date]</w:t>
      </w:r>
    </w:p>
    <w:p>
      <w:pPr>
        <w:spacing w:after="60" w:before="0" w:line="276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Objet : observations sur l’ordre de service n° </w:t>
      </w:r>
      <w:r>
        <w:rPr>
          <w:rFonts w:ascii="Arial" w:cs="Arial" w:eastAsia="Arial" w:hAnsi="Arial"/>
          <w:b/>
          <w:bCs/>
          <w:sz w:val="21"/>
          <w:szCs w:val="21"/>
          <w:shd w:fill="FFF1B8" w:color="auto" w:val="clear"/>
        </w:rPr>
        <w:t xml:space="preserve">[numéro]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 du </w:t>
      </w:r>
      <w:r>
        <w:rPr>
          <w:rFonts w:ascii="Arial" w:cs="Arial" w:eastAsia="Arial" w:hAnsi="Arial"/>
          <w:b/>
          <w:bCs/>
          <w:sz w:val="21"/>
          <w:szCs w:val="21"/>
          <w:shd w:fill="FFF1B8" w:color="auto" w:val="clear"/>
        </w:rPr>
        <w:t xml:space="preserve">[date]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 (article 3.8.2 du CCAG Travaux 2021)</w:t>
      </w:r>
    </w:p>
    <w:p>
      <w:pPr>
        <w:spacing w:after="2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Marché :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[intitulé et numéro du marché]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, lot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[numéro et intitulé du lot]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, notifié le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[date]</w:t>
      </w:r>
    </w:p>
    <w:p>
      <w:pPr>
        <w:spacing w:after="26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Ordre de service n° 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[numéro]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, daté du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[date]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, reçu le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[date de réception]</w:t>
      </w:r>
    </w:p>
    <w:p>
      <w:pPr>
        <w:keepNext/>
        <w:spacing w:after="14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Madame, Monsieur,</w:t>
      </w:r>
    </w:p>
    <w:p>
      <w:pPr>
        <w:spacing w:after="14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Nous avons reçu le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[date de réception]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 l’ordre de service n° 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[numéro]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, daté du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[date]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, émis par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[le maître d’œuvre / le maître d’ouvrage]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, qui prescrit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[objet résumé de l’ordre de service]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.</w:t>
      </w:r>
    </w:p>
    <w:p>
      <w:pPr>
        <w:keepNext/>
        <w:spacing w:after="14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Conformément à l’article 3.8.2 du CCAG Travaux 2021, ses prescriptions appellent de notre part les observations suivantes :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[Prescription concernée]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 :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[observation motivée : ce qui pose problème, pourquoi, pièce jointe qui l’établit]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[Prescription concernée]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 :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[observation motivée]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.</w:t>
      </w:r>
    </w:p>
    <w:p>
      <w:pPr>
        <w:spacing w:after="140" w:before="80" w:line="276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[Si l’ordre de service a une incidence : Selon nous, cet ordre de service a une incidence [sur le délai d’exécution, de [nombre] jours, pour les raisons suivantes : [raisons]] [et sur le prix, de [montant] € HT, selon le chiffrage joint]. S’il prescrit des prestations supplémentaires ou modificatives ayant une incidence financière, il donne lieu à une juste rémunération dans les conditions de l’article 13 (article 3.8.6).]</w:t>
      </w:r>
    </w:p>
    <w:p>
      <w:pPr>
        <w:spacing w:after="14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Comme le prévoit l’article 3.8.3, nous nous conformons à cet ordre de service ; les présentes observations sont formulées pour préserver nos droits sur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[le délai / le prix / les modalités d’exécution]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.</w:t>
      </w:r>
    </w:p>
    <w:p>
      <w:pPr>
        <w:spacing w:after="14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[OPTION SÉCURITÉ, seulement si c’est le cas, et en supprimant alors le paragraphe précédent : Par les présentes observations motivées, nous vous informons que cet ordre de service présente un risque en termes de [sécurité / santé] [ou contrevient à [disposition législative ou réglementaire]], pour les raisons exposées ci-dessus. En application de l’article 3.8.2, le délai d’exécution de cet ordre de service est suspendu jusqu’à la notification de la réponse du maître d’ouvrage ; en l’absence de réponse dans un délai de quinze jours, le titulaire n’est pas tenu de l’exécuter.]</w:t>
      </w:r>
    </w:p>
    <w:p>
      <w:pPr>
        <w:spacing w:after="14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[OPTION VALIDATION, si l’ordre de service émane du maître d’œuvre et modifie le délai d’exécution, la durée ou le montant du marché : La justification de la validation préalable de cet ordre de service par le maître d’ouvrage, prévue à l’article 3.8.1, n’y était pas jointe. Nous vous remercions de nous la transmettre ; l’article 3.8.1 prévoit qu’à défaut, le titulaire n’est pas tenu de l’exécuter.]</w:t>
      </w:r>
    </w:p>
    <w:p>
      <w:pPr>
        <w:keepNext/>
        <w:spacing w:after="360" w:before="12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Nous vous prions d’agréer, Madame, Monsieur, l’expression de nos salutations distinguées.</w:t>
      </w:r>
    </w:p>
    <w:p>
      <w:pPr>
        <w:keepNext/>
        <w:spacing w:after="0" w:before="0" w:line="276"/>
        <w:ind w:left="4820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[Nom et prénom du signataire]</w:t>
      </w:r>
    </w:p>
    <w:p>
      <w:pPr>
        <w:keepNext/>
        <w:spacing w:after="0" w:before="0" w:line="276"/>
        <w:ind w:left="4820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[Qualité : gérant, président, directeur de travaux]</w:t>
      </w:r>
    </w:p>
    <w:p>
      <w:pPr>
        <w:spacing w:after="300" w:before="0" w:line="276"/>
        <w:ind w:left="4820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[Signature]</w:t>
      </w:r>
    </w:p>
    <w:p>
      <w:pPr>
        <w:keepNext/>
        <w:spacing w:after="60" w:before="0" w:line="276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Pièces jointes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Copie de l’ordre de service n° 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[numéro]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[Pièces justificatives]</w:t>
      </w:r>
    </w:p>
    <w:p>
      <w:pPr>
        <w:sectPr>
          <w:pgSz w:w="11906" w:h="16838" w:orient="portrait"/>
          <w:pgMar w:top="1134" w:right="1134" w:bottom="1134" w:left="1134" w:header="708" w:footer="708" w:gutter="0"/>
          <w:pgNumType/>
          <w:docGrid w:linePitch="360"/>
        </w:sectPr>
      </w:pPr>
    </w:p>
    <w:p>
      <w:pPr>
        <w:spacing w:after="240" w:before="0" w:line="276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Lettre B · Refus d’un ordre de service sans valorisation financière (article 13.6)</w:t>
      </w:r>
    </w:p>
    <w:p>
      <w:pPr>
        <w:spacing w:after="0" w:before="0" w:line="276"/>
      </w:pPr>
      <w:r>
        <w:rPr>
          <w:rFonts w:ascii="Arial" w:cs="Arial" w:eastAsia="Arial" w:hAnsi="Arial"/>
          <w:b/>
          <w:bCs/>
          <w:sz w:val="21"/>
          <w:szCs w:val="21"/>
          <w:shd w:fill="FFF1B8" w:color="auto" w:val="clear"/>
        </w:rPr>
        <w:t xml:space="preserve">[Raison sociale de l’entreprise]</w:t>
      </w:r>
    </w:p>
    <w:p>
      <w:pPr>
        <w:spacing w:after="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[Adresse]</w:t>
      </w:r>
    </w:p>
    <w:p>
      <w:pPr>
        <w:spacing w:after="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[Code postal, ville]</w:t>
      </w:r>
    </w:p>
    <w:p>
      <w:pPr>
        <w:spacing w:after="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SIRET :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[numéro]</w:t>
      </w:r>
    </w:p>
    <w:p>
      <w:pPr>
        <w:spacing w:after="24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[Téléphone, email]</w:t>
      </w:r>
    </w:p>
    <w:p>
      <w:pPr>
        <w:spacing w:after="0" w:before="0" w:line="276"/>
        <w:ind w:left="48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Maître d’œuvre</w:t>
      </w:r>
    </w:p>
    <w:p>
      <w:pPr>
        <w:spacing w:after="0" w:before="0" w:line="276"/>
        <w:ind w:left="4820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[Nom du maître d’œuvre]</w:t>
      </w:r>
    </w:p>
    <w:p>
      <w:pPr>
        <w:spacing w:after="0" w:before="0" w:line="276"/>
        <w:ind w:left="4820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[Adresse]</w:t>
      </w:r>
    </w:p>
    <w:p>
      <w:pPr>
        <w:spacing w:after="0" w:before="140" w:line="276"/>
        <w:ind w:left="482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Copie : maître d’ouvrage,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[nom de l’acheteur, service, adresse]</w:t>
      </w:r>
    </w:p>
    <w:p>
      <w:pPr>
        <w:spacing w:after="200" w:before="0" w:line="276"/>
      </w:pPr>
    </w:p>
    <w:p>
      <w:pPr>
        <w:spacing w:after="6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Envoi :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[lettre recommandée avec avis de réception / remise contre récépissé / profil d’acheteur / adresse électronique prévue au marché]</w:t>
      </w:r>
    </w:p>
    <w:p>
      <w:pPr>
        <w:spacing w:after="24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[Lieu]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, le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[date]</w:t>
      </w:r>
    </w:p>
    <w:p>
      <w:pPr>
        <w:spacing w:after="60" w:before="0" w:line="276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Objet : refus d’exécuter l’ordre de service n° </w:t>
      </w:r>
      <w:r>
        <w:rPr>
          <w:rFonts w:ascii="Arial" w:cs="Arial" w:eastAsia="Arial" w:hAnsi="Arial"/>
          <w:b/>
          <w:bCs/>
          <w:sz w:val="21"/>
          <w:szCs w:val="21"/>
          <w:shd w:fill="FFF1B8" w:color="auto" w:val="clear"/>
        </w:rPr>
        <w:t xml:space="preserve">[numéro]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 du </w:t>
      </w:r>
      <w:r>
        <w:rPr>
          <w:rFonts w:ascii="Arial" w:cs="Arial" w:eastAsia="Arial" w:hAnsi="Arial"/>
          <w:b/>
          <w:bCs/>
          <w:sz w:val="21"/>
          <w:szCs w:val="21"/>
          <w:shd w:fill="FFF1B8" w:color="auto" w:val="clear"/>
        </w:rPr>
        <w:t xml:space="preserve">[date]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, dépourvu de valorisation financière (article 13.6 du CCAG Travaux 2021)</w:t>
      </w:r>
    </w:p>
    <w:p>
      <w:pPr>
        <w:spacing w:after="2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Marché :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[intitulé et numéro du marché]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, lot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[numéro et intitulé du lot]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, notifié le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[date]</w:t>
      </w:r>
    </w:p>
    <w:p>
      <w:pPr>
        <w:spacing w:after="26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Ordre de service n° 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[numéro]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, daté du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[date]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, notifié le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[date de notification]</w:t>
      </w:r>
    </w:p>
    <w:p>
      <w:pPr>
        <w:keepNext/>
        <w:spacing w:after="14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Madame, Monsieur,</w:t>
      </w:r>
    </w:p>
    <w:p>
      <w:pPr>
        <w:spacing w:after="14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L’ordre de service n° 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[numéro]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 du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[date]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, qui nous a été notifié le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[date de notification]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, prescrit des prestations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[supplémentaires / modificatives]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 pour lesquelles le marché n’a pas prévu de prix :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[description des prestations]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. Il n’a fait l’objet d’aucune valorisation financière.</w:t>
      </w:r>
    </w:p>
    <w:p>
      <w:pPr>
        <w:keepNext/>
        <w:spacing w:after="14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En application de l’article 13.6 du CCAG Travaux 2021, nous ne sommes pas tenus de nous conformer à un tel ordre de service, et nous refusons de l’exécuter en l’état, pour les raisons suivantes :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l’ordre de service ne fixe aucun prix, alors que les prix provisoires des prestations supplémentaires ou modificatives sont fixés par ordre de service (article 13.4) ;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ces prestations ne figurent pas au marché :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[références du CCTP, de la décomposition du prix global et forfaitaire ou du bordereau des prix unitaires qui l’établissent]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 ;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[autres justifications]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.</w:t>
      </w:r>
    </w:p>
    <w:p>
      <w:pPr>
        <w:spacing w:after="140" w:before="8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Nous exécuterons ces prestations dès réception d’un ordre de service qui en fixe les prix provisoires.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[OPTION : Pour faciliter leur établissement, nous joignons notre proposition de prix, établie à partir des éléments de notre [décomposition du prix global et forfaitaire / sous-détail des prix unitaires] (article 13.3).]</w:t>
      </w:r>
    </w:p>
    <w:p>
      <w:pPr>
        <w:spacing w:after="14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Copie de la présente est adressée au maître d’ouvrage, comme le prévoit l’article 13.6.</w:t>
      </w:r>
    </w:p>
    <w:p>
      <w:pPr>
        <w:keepNext/>
        <w:spacing w:after="360" w:before="12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Nous vous prions d’agréer, Madame, Monsieur, l’expression de nos salutations distinguées.</w:t>
      </w:r>
    </w:p>
    <w:p>
      <w:pPr>
        <w:keepNext/>
        <w:spacing w:after="0" w:before="0" w:line="276"/>
        <w:ind w:left="4820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[Nom et prénom du signataire]</w:t>
      </w:r>
    </w:p>
    <w:p>
      <w:pPr>
        <w:keepNext/>
        <w:spacing w:after="0" w:before="0" w:line="276"/>
        <w:ind w:left="4820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[Qualité : gérant, président, directeur de travaux]</w:t>
      </w:r>
    </w:p>
    <w:p>
      <w:pPr>
        <w:spacing w:after="300" w:before="0" w:line="276"/>
        <w:ind w:left="4820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[Signature]</w:t>
      </w:r>
    </w:p>
    <w:p>
      <w:pPr>
        <w:keepNext/>
        <w:spacing w:after="60" w:before="0" w:line="276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Pièces jointes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Copie de l’ordre de service n° 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[numéro]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[Proposition de prix, si jointe]</w:t>
      </w:r>
    </w:p>
    <w:p>
      <w:pPr>
        <w:sectPr>
          <w:pgSz w:w="11906" w:h="16838" w:orient="portrait"/>
          <w:pgMar w:top="1134" w:right="1134" w:bottom="1134" w:left="1134" w:header="708" w:footer="708" w:gutter="0"/>
          <w:pgNumType/>
          <w:docGrid w:linePitch="360"/>
        </w:sectPr>
      </w:pPr>
    </w:p>
    <w:p>
      <w:pPr>
        <w:spacing w:after="240" w:before="0" w:line="276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Lettre C · Prix proposés en réponse à des prix provisoires (article 13.5)</w:t>
      </w:r>
    </w:p>
    <w:p>
      <w:pPr>
        <w:spacing w:after="0" w:before="0" w:line="276"/>
      </w:pPr>
      <w:r>
        <w:rPr>
          <w:rFonts w:ascii="Arial" w:cs="Arial" w:eastAsia="Arial" w:hAnsi="Arial"/>
          <w:b/>
          <w:bCs/>
          <w:sz w:val="21"/>
          <w:szCs w:val="21"/>
          <w:shd w:fill="FFF1B8" w:color="auto" w:val="clear"/>
        </w:rPr>
        <w:t xml:space="preserve">[Raison sociale de l’entreprise]</w:t>
      </w:r>
    </w:p>
    <w:p>
      <w:pPr>
        <w:spacing w:after="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[Adresse]</w:t>
      </w:r>
    </w:p>
    <w:p>
      <w:pPr>
        <w:spacing w:after="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[Code postal, ville]</w:t>
      </w:r>
    </w:p>
    <w:p>
      <w:pPr>
        <w:spacing w:after="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SIRET :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[numéro]</w:t>
      </w:r>
    </w:p>
    <w:p>
      <w:pPr>
        <w:spacing w:after="24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[Téléphone, email]</w:t>
      </w:r>
    </w:p>
    <w:p>
      <w:pPr>
        <w:spacing w:after="0" w:before="0" w:line="276"/>
        <w:ind w:left="48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Maître d’œuvre</w:t>
      </w:r>
    </w:p>
    <w:p>
      <w:pPr>
        <w:spacing w:after="0" w:before="0" w:line="276"/>
        <w:ind w:left="4820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[Nom du maître d’œuvre]</w:t>
      </w:r>
    </w:p>
    <w:p>
      <w:pPr>
        <w:spacing w:after="0" w:before="0" w:line="276"/>
        <w:ind w:left="4820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[Adresse]</w:t>
      </w:r>
    </w:p>
    <w:p>
      <w:pPr>
        <w:spacing w:after="0" w:before="140" w:line="276"/>
        <w:ind w:left="482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Copie :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[maître d’ouvrage, si tu le souhaites]</w:t>
      </w:r>
    </w:p>
    <w:p>
      <w:pPr>
        <w:spacing w:after="200" w:before="0" w:line="276"/>
      </w:pPr>
    </w:p>
    <w:p>
      <w:pPr>
        <w:spacing w:after="6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Envoi :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[lettre recommandée avec avis de réception / remise contre récépissé / profil d’acheteur / adresse électronique prévue au marché]</w:t>
      </w:r>
    </w:p>
    <w:p>
      <w:pPr>
        <w:spacing w:after="24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[Lieu]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, le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[date]</w:t>
      </w:r>
    </w:p>
    <w:p>
      <w:pPr>
        <w:spacing w:after="60" w:before="0" w:line="276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Objet : observations sur les prix provisoires de l’ordre de service n° </w:t>
      </w:r>
      <w:r>
        <w:rPr>
          <w:rFonts w:ascii="Arial" w:cs="Arial" w:eastAsia="Arial" w:hAnsi="Arial"/>
          <w:b/>
          <w:bCs/>
          <w:sz w:val="21"/>
          <w:szCs w:val="21"/>
          <w:shd w:fill="FFF1B8" w:color="auto" w:val="clear"/>
        </w:rPr>
        <w:t xml:space="preserve">[numéro]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 du </w:t>
      </w:r>
      <w:r>
        <w:rPr>
          <w:rFonts w:ascii="Arial" w:cs="Arial" w:eastAsia="Arial" w:hAnsi="Arial"/>
          <w:b/>
          <w:bCs/>
          <w:sz w:val="21"/>
          <w:szCs w:val="21"/>
          <w:shd w:fill="FFF1B8" w:color="auto" w:val="clear"/>
        </w:rPr>
        <w:t xml:space="preserve">[date]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 (article 13.5 du CCAG Travaux 2021)</w:t>
      </w:r>
    </w:p>
    <w:p>
      <w:pPr>
        <w:spacing w:after="2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Marché :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[intitulé et numéro du marché]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, lot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[numéro et intitulé du lot]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, notifié le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[date]</w:t>
      </w:r>
    </w:p>
    <w:p>
      <w:pPr>
        <w:spacing w:after="26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Ordre de service n° 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[numéro]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, daté du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[date]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, notifié le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[date de notification]</w:t>
      </w:r>
    </w:p>
    <w:p>
      <w:pPr>
        <w:keepNext/>
        <w:spacing w:after="14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Madame, Monsieur,</w:t>
      </w:r>
    </w:p>
    <w:p>
      <w:pPr>
        <w:spacing w:after="14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L’ordre de service n° 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[numéro]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 du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[date]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, qui nous a été notifié le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[date de notification]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, fixe des prix provisoires pour les prestations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[supplémentaires / modificatives]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 suivantes :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[description des prestations]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.</w:t>
      </w:r>
    </w:p>
    <w:p>
      <w:pPr>
        <w:keepNext/>
        <w:spacing w:after="14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En application de l’article 13.5 du CCAG Travaux 2021, nous n’acceptons pas ces prix et vous présentons ci-dessous les prix que nous proposons, avec leurs justifications.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0"/>
        <w:gridCol w:w="2300"/>
        <w:gridCol w:w="700"/>
        <w:gridCol w:w="1080"/>
        <w:gridCol w:w="1560"/>
        <w:gridCol w:w="1480"/>
        <w:gridCol w:w="1998"/>
      </w:tblGrid>
      <w:tr>
        <w:trPr>
          <w:tblHeader/>
        </w:trPr>
        <w:tc>
          <w:tcPr>
            <w:tcW w:type="dxa" w:w="520"/>
            <w:tcBorders>
              <w:top w:val="single" w:color="B9C2D0" w:sz="4"/>
              <w:left w:val="single" w:color="B9C2D0" w:sz="4"/>
              <w:bottom w:val="single" w:color="B9C2D0" w:sz="4"/>
              <w:right w:val="single" w:color="B9C2D0" w:sz="4"/>
            </w:tcBorders>
            <w:shd w:fill="E8F6F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N°</w:t>
            </w:r>
          </w:p>
        </w:tc>
        <w:tc>
          <w:tcPr>
            <w:tcW w:type="dxa" w:w="2300"/>
            <w:tcBorders>
              <w:top w:val="single" w:color="B9C2D0" w:sz="4"/>
              <w:left w:val="single" w:color="B9C2D0" w:sz="4"/>
              <w:bottom w:val="single" w:color="B9C2D0" w:sz="4"/>
              <w:right w:val="single" w:color="B9C2D0" w:sz="4"/>
            </w:tcBorders>
            <w:shd w:fill="E8F6F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Désignation</w:t>
            </w:r>
          </w:p>
        </w:tc>
        <w:tc>
          <w:tcPr>
            <w:tcW w:type="dxa" w:w="700"/>
            <w:tcBorders>
              <w:top w:val="single" w:color="B9C2D0" w:sz="4"/>
              <w:left w:val="single" w:color="B9C2D0" w:sz="4"/>
              <w:bottom w:val="single" w:color="B9C2D0" w:sz="4"/>
              <w:right w:val="single" w:color="B9C2D0" w:sz="4"/>
            </w:tcBorders>
            <w:shd w:fill="E8F6F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Unité</w:t>
            </w:r>
          </w:p>
        </w:tc>
        <w:tc>
          <w:tcPr>
            <w:tcW w:type="dxa" w:w="1080"/>
            <w:tcBorders>
              <w:top w:val="single" w:color="B9C2D0" w:sz="4"/>
              <w:left w:val="single" w:color="B9C2D0" w:sz="4"/>
              <w:bottom w:val="single" w:color="B9C2D0" w:sz="4"/>
              <w:right w:val="single" w:color="B9C2D0" w:sz="4"/>
            </w:tcBorders>
            <w:shd w:fill="E8F6F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Quantité</w:t>
            </w:r>
          </w:p>
        </w:tc>
        <w:tc>
          <w:tcPr>
            <w:tcW w:type="dxa" w:w="1560"/>
            <w:tcBorders>
              <w:top w:val="single" w:color="B9C2D0" w:sz="4"/>
              <w:left w:val="single" w:color="B9C2D0" w:sz="4"/>
              <w:bottom w:val="single" w:color="B9C2D0" w:sz="4"/>
              <w:right w:val="single" w:color="B9C2D0" w:sz="4"/>
            </w:tcBorders>
            <w:shd w:fill="E8F6F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Prix provisoire de l’ordre de service (€ HT)</w:t>
            </w:r>
          </w:p>
        </w:tc>
        <w:tc>
          <w:tcPr>
            <w:tcW w:type="dxa" w:w="1480"/>
            <w:tcBorders>
              <w:top w:val="single" w:color="B9C2D0" w:sz="4"/>
              <w:left w:val="single" w:color="B9C2D0" w:sz="4"/>
              <w:bottom w:val="single" w:color="B9C2D0" w:sz="4"/>
              <w:right w:val="single" w:color="B9C2D0" w:sz="4"/>
            </w:tcBorders>
            <w:shd w:fill="E8F6F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Prix proposé (€ HT)</w:t>
            </w:r>
          </w:p>
        </w:tc>
        <w:tc>
          <w:tcPr>
            <w:tcW w:type="dxa" w:w="1998"/>
            <w:tcBorders>
              <w:top w:val="single" w:color="B9C2D0" w:sz="4"/>
              <w:left w:val="single" w:color="B9C2D0" w:sz="4"/>
              <w:bottom w:val="single" w:color="B9C2D0" w:sz="4"/>
              <w:right w:val="single" w:color="B9C2D0" w:sz="4"/>
            </w:tcBorders>
            <w:shd w:fill="E8F6F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Justification (pièce jointe)</w:t>
            </w:r>
          </w:p>
        </w:tc>
      </w:tr>
      <w:tr>
        <w:tc>
          <w:tcPr>
            <w:tcW w:type="dxa" w:w="520"/>
            <w:tcBorders>
              <w:top w:val="single" w:color="B9C2D0" w:sz="4"/>
              <w:left w:val="single" w:color="B9C2D0" w:sz="4"/>
              <w:bottom w:val="single" w:color="B9C2D0" w:sz="4"/>
              <w:right w:val="single" w:color="B9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2300"/>
            <w:tcBorders>
              <w:top w:val="single" w:color="B9C2D0" w:sz="4"/>
              <w:left w:val="single" w:color="B9C2D0" w:sz="4"/>
              <w:bottom w:val="single" w:color="B9C2D0" w:sz="4"/>
              <w:right w:val="single" w:color="B9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shd w:fill="FFF1B8" w:color="auto" w:val="clear"/>
              </w:rPr>
              <w:t xml:space="preserve">[désignation]</w:t>
            </w:r>
          </w:p>
        </w:tc>
        <w:tc>
          <w:tcPr>
            <w:tcW w:type="dxa" w:w="700"/>
            <w:tcBorders>
              <w:top w:val="single" w:color="B9C2D0" w:sz="4"/>
              <w:left w:val="single" w:color="B9C2D0" w:sz="4"/>
              <w:bottom w:val="single" w:color="B9C2D0" w:sz="4"/>
              <w:right w:val="single" w:color="B9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shd w:fill="FFF1B8" w:color="auto" w:val="clear"/>
              </w:rPr>
              <w:t xml:space="preserve">[u]</w:t>
            </w:r>
          </w:p>
        </w:tc>
        <w:tc>
          <w:tcPr>
            <w:tcW w:type="dxa" w:w="1080"/>
            <w:tcBorders>
              <w:top w:val="single" w:color="B9C2D0" w:sz="4"/>
              <w:left w:val="single" w:color="B9C2D0" w:sz="4"/>
              <w:bottom w:val="single" w:color="B9C2D0" w:sz="4"/>
              <w:right w:val="single" w:color="B9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shd w:fill="FFF1B8" w:color="auto" w:val="clear"/>
              </w:rPr>
              <w:t xml:space="preserve">[qté]</w:t>
            </w:r>
          </w:p>
        </w:tc>
        <w:tc>
          <w:tcPr>
            <w:tcW w:type="dxa" w:w="1560"/>
            <w:tcBorders>
              <w:top w:val="single" w:color="B9C2D0" w:sz="4"/>
              <w:left w:val="single" w:color="B9C2D0" w:sz="4"/>
              <w:bottom w:val="single" w:color="B9C2D0" w:sz="4"/>
              <w:right w:val="single" w:color="B9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shd w:fill="FFF1B8" w:color="auto" w:val="clear"/>
              </w:rPr>
              <w:t xml:space="preserve">[prix]</w:t>
            </w:r>
          </w:p>
        </w:tc>
        <w:tc>
          <w:tcPr>
            <w:tcW w:type="dxa" w:w="1480"/>
            <w:tcBorders>
              <w:top w:val="single" w:color="B9C2D0" w:sz="4"/>
              <w:left w:val="single" w:color="B9C2D0" w:sz="4"/>
              <w:bottom w:val="single" w:color="B9C2D0" w:sz="4"/>
              <w:right w:val="single" w:color="B9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shd w:fill="FFF1B8" w:color="auto" w:val="clear"/>
              </w:rPr>
              <w:t xml:space="preserve">[prix]</w:t>
            </w:r>
          </w:p>
        </w:tc>
        <w:tc>
          <w:tcPr>
            <w:tcW w:type="dxa" w:w="1998"/>
            <w:tcBorders>
              <w:top w:val="single" w:color="B9C2D0" w:sz="4"/>
              <w:left w:val="single" w:color="B9C2D0" w:sz="4"/>
              <w:bottom w:val="single" w:color="B9C2D0" w:sz="4"/>
              <w:right w:val="single" w:color="B9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shd w:fill="FFF1B8" w:color="auto" w:val="clear"/>
              </w:rPr>
              <w:t xml:space="preserve">[pièce n°]</w:t>
            </w:r>
          </w:p>
        </w:tc>
      </w:tr>
      <w:tr>
        <w:tc>
          <w:tcPr>
            <w:tcW w:type="dxa" w:w="520"/>
            <w:tcBorders>
              <w:top w:val="single" w:color="B9C2D0" w:sz="4"/>
              <w:left w:val="single" w:color="B9C2D0" w:sz="4"/>
              <w:bottom w:val="single" w:color="B9C2D0" w:sz="4"/>
              <w:right w:val="single" w:color="B9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2300"/>
            <w:tcBorders>
              <w:top w:val="single" w:color="B9C2D0" w:sz="4"/>
              <w:left w:val="single" w:color="B9C2D0" w:sz="4"/>
              <w:bottom w:val="single" w:color="B9C2D0" w:sz="4"/>
              <w:right w:val="single" w:color="B9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shd w:fill="FFF1B8" w:color="auto" w:val="clear"/>
              </w:rPr>
              <w:t xml:space="preserve">[désignation]</w:t>
            </w:r>
          </w:p>
        </w:tc>
        <w:tc>
          <w:tcPr>
            <w:tcW w:type="dxa" w:w="700"/>
            <w:tcBorders>
              <w:top w:val="single" w:color="B9C2D0" w:sz="4"/>
              <w:left w:val="single" w:color="B9C2D0" w:sz="4"/>
              <w:bottom w:val="single" w:color="B9C2D0" w:sz="4"/>
              <w:right w:val="single" w:color="B9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shd w:fill="FFF1B8" w:color="auto" w:val="clear"/>
              </w:rPr>
              <w:t xml:space="preserve">[u]</w:t>
            </w:r>
          </w:p>
        </w:tc>
        <w:tc>
          <w:tcPr>
            <w:tcW w:type="dxa" w:w="1080"/>
            <w:tcBorders>
              <w:top w:val="single" w:color="B9C2D0" w:sz="4"/>
              <w:left w:val="single" w:color="B9C2D0" w:sz="4"/>
              <w:bottom w:val="single" w:color="B9C2D0" w:sz="4"/>
              <w:right w:val="single" w:color="B9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shd w:fill="FFF1B8" w:color="auto" w:val="clear"/>
              </w:rPr>
              <w:t xml:space="preserve">[qté]</w:t>
            </w:r>
          </w:p>
        </w:tc>
        <w:tc>
          <w:tcPr>
            <w:tcW w:type="dxa" w:w="1560"/>
            <w:tcBorders>
              <w:top w:val="single" w:color="B9C2D0" w:sz="4"/>
              <w:left w:val="single" w:color="B9C2D0" w:sz="4"/>
              <w:bottom w:val="single" w:color="B9C2D0" w:sz="4"/>
              <w:right w:val="single" w:color="B9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shd w:fill="FFF1B8" w:color="auto" w:val="clear"/>
              </w:rPr>
              <w:t xml:space="preserve">[prix]</w:t>
            </w:r>
          </w:p>
        </w:tc>
        <w:tc>
          <w:tcPr>
            <w:tcW w:type="dxa" w:w="1480"/>
            <w:tcBorders>
              <w:top w:val="single" w:color="B9C2D0" w:sz="4"/>
              <w:left w:val="single" w:color="B9C2D0" w:sz="4"/>
              <w:bottom w:val="single" w:color="B9C2D0" w:sz="4"/>
              <w:right w:val="single" w:color="B9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shd w:fill="FFF1B8" w:color="auto" w:val="clear"/>
              </w:rPr>
              <w:t xml:space="preserve">[prix]</w:t>
            </w:r>
          </w:p>
        </w:tc>
        <w:tc>
          <w:tcPr>
            <w:tcW w:type="dxa" w:w="1998"/>
            <w:tcBorders>
              <w:top w:val="single" w:color="B9C2D0" w:sz="4"/>
              <w:left w:val="single" w:color="B9C2D0" w:sz="4"/>
              <w:bottom w:val="single" w:color="B9C2D0" w:sz="4"/>
              <w:right w:val="single" w:color="B9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shd w:fill="FFF1B8" w:color="auto" w:val="clear"/>
              </w:rPr>
              <w:t xml:space="preserve">[pièce n°]</w:t>
            </w:r>
          </w:p>
        </w:tc>
      </w:tr>
      <w:tr>
        <w:tc>
          <w:tcPr>
            <w:tcW w:type="dxa" w:w="520"/>
            <w:tcBorders>
              <w:top w:val="single" w:color="B9C2D0" w:sz="4"/>
              <w:left w:val="single" w:color="B9C2D0" w:sz="4"/>
              <w:bottom w:val="single" w:color="B9C2D0" w:sz="4"/>
              <w:right w:val="single" w:color="B9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2300"/>
            <w:tcBorders>
              <w:top w:val="single" w:color="B9C2D0" w:sz="4"/>
              <w:left w:val="single" w:color="B9C2D0" w:sz="4"/>
              <w:bottom w:val="single" w:color="B9C2D0" w:sz="4"/>
              <w:right w:val="single" w:color="B9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shd w:fill="FFF1B8" w:color="auto" w:val="clear"/>
              </w:rPr>
              <w:t xml:space="preserve">[désignation]</w:t>
            </w:r>
          </w:p>
        </w:tc>
        <w:tc>
          <w:tcPr>
            <w:tcW w:type="dxa" w:w="700"/>
            <w:tcBorders>
              <w:top w:val="single" w:color="B9C2D0" w:sz="4"/>
              <w:left w:val="single" w:color="B9C2D0" w:sz="4"/>
              <w:bottom w:val="single" w:color="B9C2D0" w:sz="4"/>
              <w:right w:val="single" w:color="B9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shd w:fill="FFF1B8" w:color="auto" w:val="clear"/>
              </w:rPr>
              <w:t xml:space="preserve">[u]</w:t>
            </w:r>
          </w:p>
        </w:tc>
        <w:tc>
          <w:tcPr>
            <w:tcW w:type="dxa" w:w="1080"/>
            <w:tcBorders>
              <w:top w:val="single" w:color="B9C2D0" w:sz="4"/>
              <w:left w:val="single" w:color="B9C2D0" w:sz="4"/>
              <w:bottom w:val="single" w:color="B9C2D0" w:sz="4"/>
              <w:right w:val="single" w:color="B9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shd w:fill="FFF1B8" w:color="auto" w:val="clear"/>
              </w:rPr>
              <w:t xml:space="preserve">[qté]</w:t>
            </w:r>
          </w:p>
        </w:tc>
        <w:tc>
          <w:tcPr>
            <w:tcW w:type="dxa" w:w="1560"/>
            <w:tcBorders>
              <w:top w:val="single" w:color="B9C2D0" w:sz="4"/>
              <w:left w:val="single" w:color="B9C2D0" w:sz="4"/>
              <w:bottom w:val="single" w:color="B9C2D0" w:sz="4"/>
              <w:right w:val="single" w:color="B9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shd w:fill="FFF1B8" w:color="auto" w:val="clear"/>
              </w:rPr>
              <w:t xml:space="preserve">[prix]</w:t>
            </w:r>
          </w:p>
        </w:tc>
        <w:tc>
          <w:tcPr>
            <w:tcW w:type="dxa" w:w="1480"/>
            <w:tcBorders>
              <w:top w:val="single" w:color="B9C2D0" w:sz="4"/>
              <w:left w:val="single" w:color="B9C2D0" w:sz="4"/>
              <w:bottom w:val="single" w:color="B9C2D0" w:sz="4"/>
              <w:right w:val="single" w:color="B9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shd w:fill="FFF1B8" w:color="auto" w:val="clear"/>
              </w:rPr>
              <w:t xml:space="preserve">[prix]</w:t>
            </w:r>
          </w:p>
        </w:tc>
        <w:tc>
          <w:tcPr>
            <w:tcW w:type="dxa" w:w="1998"/>
            <w:tcBorders>
              <w:top w:val="single" w:color="B9C2D0" w:sz="4"/>
              <w:left w:val="single" w:color="B9C2D0" w:sz="4"/>
              <w:bottom w:val="single" w:color="B9C2D0" w:sz="4"/>
              <w:right w:val="single" w:color="B9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shd w:fill="FFF1B8" w:color="auto" w:val="clear"/>
              </w:rPr>
              <w:t xml:space="preserve">[pièce n°]</w:t>
            </w:r>
          </w:p>
        </w:tc>
      </w:tr>
    </w:tbl>
    <w:p>
      <w:pPr>
        <w:spacing w:after="140" w:before="20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Nos prix sont établis à partir des éléments de notre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[décomposition du prix global et forfaitaire / sous-détail des prix unitaires]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, conformément à l’article 13.3, 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[et de : devis de fournisseurs, temps passés, autres éléments]</w:t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. Le détail figure en pièce jointe.</w:t>
      </w:r>
    </w:p>
    <w:p>
      <w:pPr>
        <w:spacing w:after="140" w:before="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En cas de désaccord, l’article 13.5 prévoit que le maître d’ouvrage règle provisoirement les sommes qu’il admet. Nous restons à votre disposition pour arrêter les prix définitifs, qui feront alors l’objet d’un avenant.</w:t>
      </w:r>
    </w:p>
    <w:p>
      <w:pPr>
        <w:keepNext/>
        <w:spacing w:after="360" w:before="12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Nous vous prions d’agréer, Madame, Monsieur, l’expression de nos salutations distinguées.</w:t>
      </w:r>
    </w:p>
    <w:p>
      <w:pPr>
        <w:keepNext/>
        <w:spacing w:after="0" w:before="0" w:line="276"/>
        <w:ind w:left="4820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[Nom et prénom du signataire]</w:t>
      </w:r>
    </w:p>
    <w:p>
      <w:pPr>
        <w:keepNext/>
        <w:spacing w:after="0" w:before="0" w:line="276"/>
        <w:ind w:left="4820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[Qualité : gérant, président, directeur de travaux]</w:t>
      </w:r>
    </w:p>
    <w:p>
      <w:pPr>
        <w:spacing w:after="300" w:before="0" w:line="276"/>
        <w:ind w:left="4820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[Signature]</w:t>
      </w:r>
    </w:p>
    <w:p>
      <w:pPr>
        <w:keepNext/>
        <w:spacing w:after="60" w:before="0" w:line="276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Pièces jointes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Copie de l’ordre de service n° </w:t>
      </w: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[numéro]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[Sous-détails ou décompositions des prix proposés]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rFonts w:ascii="Arial" w:cs="Arial" w:eastAsia="Arial" w:hAnsi="Arial"/>
          <w:b w:val="false"/>
          <w:bCs w:val="false"/>
          <w:sz w:val="21"/>
          <w:szCs w:val="21"/>
          <w:shd w:fill="FFF1B8" w:color="auto" w:val="clear"/>
        </w:rPr>
        <w:t xml:space="preserve">[Devis et autres justificatifs]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32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32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32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32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320"/>
      </w:pPr>
    </w:lvl>
  </w:abstractNum>
  <w:num w:numId="1">
    <w:abstractNumId w:val="1"/>
    <w:lvlOverride w:ilvl="0">
      <w:startOverride w:val="1"/>
    </w:lvlOverride>
  </w:num>
  <w:num w:numId="2">
    <w:abstractNumId w:val="5"/>
    <w:lvlOverride w:ilvl="0">
      <w:startOverride w:val="1"/>
    </w:lvlOverride>
  </w:num>
  <w:num w:numId="3">
    <w:abstractNumId w:val="6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7"/>
    <w:lvlOverride w:ilvl="0">
      <w:startOverride w:val="1"/>
    </w:lvlOverride>
  </w:num>
  <w:num w:numId="6">
    <w:abstractNumId w:val="8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Répondre à un ordre de service (CCAG Travaux 2021, articles 3.8, 13.5 et 13.6)</dc:title>
  <dc:creator>Productiv·IA</dc:creator>
  <dc:description>Trois modèles de courrier, règles par défaut du CCAG Travaux 2021</dc:description>
  <cp:lastModifiedBy>Un-named</cp:lastModifiedBy>
  <cp:revision>1</cp:revision>
  <dcterms:created xsi:type="dcterms:W3CDTF">2026-09-27T20:58:39.445Z</dcterms:created>
  <dcterms:modified xsi:type="dcterms:W3CDTF">2026-09-27T20:58:39.445Z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